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1F497D" w:themeFill="text2"/>
        <w:tblLook w:val="04A0" w:firstRow="1" w:lastRow="0" w:firstColumn="1" w:lastColumn="0" w:noHBand="0" w:noVBand="1"/>
      </w:tblPr>
      <w:tblGrid>
        <w:gridCol w:w="1910"/>
        <w:gridCol w:w="6585"/>
        <w:gridCol w:w="1785"/>
      </w:tblGrid>
      <w:tr w:rsidR="00D6213E" w:rsidRPr="00D6213E" w:rsidTr="0014797B">
        <w:trPr>
          <w:trHeight w:val="1134"/>
        </w:trPr>
        <w:tc>
          <w:tcPr>
            <w:tcW w:w="1910" w:type="dxa"/>
            <w:tcBorders>
              <w:bottom w:val="nil"/>
            </w:tcBorders>
            <w:shd w:val="clear" w:color="auto" w:fill="1F497D" w:themeFill="text2"/>
            <w:vAlign w:val="center"/>
          </w:tcPr>
          <w:p w:rsidR="00D6213E" w:rsidRPr="00CF75AD" w:rsidRDefault="00D6213E" w:rsidP="00ED0484">
            <w:pPr>
              <w:jc w:val="center"/>
              <w:rPr>
                <w:rFonts w:cs="Arial"/>
                <w:b/>
                <w:color w:val="FFFFFF" w:themeColor="background1"/>
                <w:szCs w:val="24"/>
              </w:rPr>
            </w:pPr>
            <w:bookmarkStart w:id="0" w:name="_GoBack"/>
            <w:bookmarkEnd w:id="0"/>
            <w:r w:rsidRPr="00CF75AD">
              <w:rPr>
                <w:rFonts w:cs="Arial"/>
                <w:b/>
                <w:color w:val="FFFFFF" w:themeColor="background1"/>
                <w:szCs w:val="24"/>
              </w:rPr>
              <w:t>Understanding Bradford District</w:t>
            </w:r>
          </w:p>
        </w:tc>
        <w:tc>
          <w:tcPr>
            <w:tcW w:w="6585" w:type="dxa"/>
            <w:tcBorders>
              <w:bottom w:val="nil"/>
            </w:tcBorders>
            <w:shd w:val="clear" w:color="auto" w:fill="1F497D" w:themeFill="text2"/>
            <w:vAlign w:val="center"/>
          </w:tcPr>
          <w:p w:rsidR="00B727EF" w:rsidRPr="00B727EF" w:rsidRDefault="00B727EF" w:rsidP="0014797B">
            <w:pPr>
              <w:jc w:val="center"/>
              <w:rPr>
                <w:color w:val="FFFFFF" w:themeColor="background1"/>
                <w:sz w:val="20"/>
                <w:szCs w:val="20"/>
              </w:rPr>
            </w:pPr>
            <w:r w:rsidRPr="00B727EF">
              <w:rPr>
                <w:color w:val="FFFFFF" w:themeColor="background1"/>
                <w:sz w:val="20"/>
                <w:szCs w:val="20"/>
              </w:rPr>
              <w:t>City of Bradford Metropolitan District Council</w:t>
            </w:r>
          </w:p>
          <w:p w:rsidR="0014797B" w:rsidRPr="00B727EF" w:rsidRDefault="00D6213E" w:rsidP="0014797B">
            <w:pPr>
              <w:jc w:val="center"/>
              <w:rPr>
                <w:b/>
                <w:color w:val="FFFFFF" w:themeColor="background1"/>
                <w:sz w:val="36"/>
                <w:szCs w:val="36"/>
              </w:rPr>
            </w:pPr>
            <w:r w:rsidRPr="00B727EF">
              <w:rPr>
                <w:b/>
                <w:color w:val="FFFFFF" w:themeColor="background1"/>
                <w:sz w:val="36"/>
                <w:szCs w:val="36"/>
              </w:rPr>
              <w:t xml:space="preserve">Intelligence </w:t>
            </w:r>
            <w:r w:rsidR="0014797B" w:rsidRPr="00B727EF">
              <w:rPr>
                <w:b/>
                <w:color w:val="FFFFFF" w:themeColor="background1"/>
                <w:sz w:val="36"/>
                <w:szCs w:val="36"/>
              </w:rPr>
              <w:t>Bulletin</w:t>
            </w:r>
          </w:p>
        </w:tc>
        <w:tc>
          <w:tcPr>
            <w:tcW w:w="1785" w:type="dxa"/>
            <w:tcBorders>
              <w:bottom w:val="nil"/>
            </w:tcBorders>
            <w:shd w:val="clear" w:color="auto" w:fill="1F497D" w:themeFill="text2"/>
            <w:vAlign w:val="center"/>
          </w:tcPr>
          <w:p w:rsidR="00D6213E" w:rsidRPr="00CF75AD" w:rsidRDefault="000601AB" w:rsidP="00ED0484">
            <w:pPr>
              <w:jc w:val="center"/>
              <w:rPr>
                <w:rFonts w:cs="Arial"/>
                <w:color w:val="FFFFFF" w:themeColor="background1"/>
                <w:szCs w:val="24"/>
              </w:rPr>
            </w:pPr>
            <w:r>
              <w:rPr>
                <w:rFonts w:cs="Arial"/>
                <w:color w:val="FFFFFF" w:themeColor="background1"/>
                <w:szCs w:val="24"/>
              </w:rPr>
              <w:t>November</w:t>
            </w:r>
            <w:r w:rsidR="009D0210">
              <w:rPr>
                <w:rFonts w:cs="Arial"/>
                <w:color w:val="FFFFFF" w:themeColor="background1"/>
                <w:szCs w:val="24"/>
              </w:rPr>
              <w:t xml:space="preserve"> 2016</w:t>
            </w:r>
          </w:p>
        </w:tc>
      </w:tr>
    </w:tbl>
    <w:p w:rsidR="00BA4041" w:rsidRPr="00BA4041" w:rsidRDefault="00BA4041">
      <w:pPr>
        <w:rPr>
          <w:sz w:val="6"/>
          <w:szCs w:val="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56"/>
        <w:gridCol w:w="8324"/>
      </w:tblGrid>
      <w:tr w:rsidR="00BA4041" w:rsidTr="00BA4041">
        <w:tc>
          <w:tcPr>
            <w:tcW w:w="1951" w:type="dxa"/>
          </w:tcPr>
          <w:p w:rsidR="00BA4041" w:rsidRDefault="009D0210">
            <w:r>
              <w:rPr>
                <w:noProof/>
                <w:lang w:eastAsia="en-GB"/>
              </w:rPr>
              <w:drawing>
                <wp:inline distT="0" distB="0" distL="0" distR="0" wp14:anchorId="765FEBD7" wp14:editId="58E7828D">
                  <wp:extent cx="1104900" cy="11239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123950"/>
                          </a:xfrm>
                          <a:prstGeom prst="rect">
                            <a:avLst/>
                          </a:prstGeom>
                          <a:noFill/>
                          <a:ln>
                            <a:noFill/>
                          </a:ln>
                        </pic:spPr>
                      </pic:pic>
                    </a:graphicData>
                  </a:graphic>
                </wp:inline>
              </w:drawing>
            </w:r>
          </w:p>
        </w:tc>
        <w:tc>
          <w:tcPr>
            <w:tcW w:w="8329" w:type="dxa"/>
            <w:vAlign w:val="center"/>
          </w:tcPr>
          <w:p w:rsidR="00BA4041" w:rsidRPr="00330D01" w:rsidRDefault="008D5636" w:rsidP="00330D01">
            <w:pPr>
              <w:pStyle w:val="Title"/>
            </w:pPr>
            <w:r>
              <w:rPr>
                <w:sz w:val="72"/>
              </w:rPr>
              <w:t>Adult</w:t>
            </w:r>
            <w:r w:rsidR="009D5954" w:rsidRPr="009D5954">
              <w:rPr>
                <w:sz w:val="72"/>
              </w:rPr>
              <w:t xml:space="preserve"> Social Care</w:t>
            </w:r>
          </w:p>
        </w:tc>
      </w:tr>
    </w:tbl>
    <w:p w:rsidR="00BA4041" w:rsidRPr="00BA4041" w:rsidRDefault="00BA4041">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0280"/>
      </w:tblGrid>
      <w:tr w:rsidR="00D6213E" w:rsidTr="009D73B1">
        <w:tc>
          <w:tcPr>
            <w:tcW w:w="10280" w:type="dxa"/>
            <w:shd w:val="clear" w:color="auto" w:fill="DAEEF3" w:themeFill="accent5" w:themeFillTint="33"/>
          </w:tcPr>
          <w:p w:rsidR="00D6213E" w:rsidRPr="00E1226B" w:rsidRDefault="00D6213E" w:rsidP="00CF75AD">
            <w:pPr>
              <w:pStyle w:val="Heading1"/>
            </w:pPr>
            <w:r w:rsidRPr="00E1226B">
              <w:t>At a glance:</w:t>
            </w:r>
          </w:p>
          <w:p w:rsidR="009D5954" w:rsidRPr="009D5954" w:rsidRDefault="009D5954" w:rsidP="009D5954">
            <w:pPr>
              <w:pStyle w:val="ListParagraph"/>
              <w:numPr>
                <w:ilvl w:val="0"/>
                <w:numId w:val="2"/>
              </w:numPr>
              <w:rPr>
                <w:rFonts w:cs="Arial"/>
                <w:szCs w:val="24"/>
              </w:rPr>
            </w:pPr>
            <w:r w:rsidRPr="009D5954">
              <w:rPr>
                <w:rFonts w:cs="Arial"/>
                <w:szCs w:val="24"/>
              </w:rPr>
              <w:t xml:space="preserve">Small increases in both social care related quality of life, and satisfaction of people who use services with the quality of care and support. </w:t>
            </w:r>
          </w:p>
          <w:p w:rsidR="009D5954" w:rsidRPr="009D5954" w:rsidRDefault="009D5954" w:rsidP="009D5954">
            <w:pPr>
              <w:pStyle w:val="ListParagraph"/>
              <w:numPr>
                <w:ilvl w:val="0"/>
                <w:numId w:val="2"/>
              </w:numPr>
              <w:rPr>
                <w:rFonts w:cs="Arial"/>
                <w:szCs w:val="24"/>
              </w:rPr>
            </w:pPr>
            <w:r w:rsidRPr="009D5954">
              <w:rPr>
                <w:rFonts w:cs="Arial"/>
                <w:szCs w:val="24"/>
              </w:rPr>
              <w:t>The overall proportion of people receiving personal budgets continues to rise, and Bradford provided personal bu</w:t>
            </w:r>
            <w:r w:rsidR="000601AB">
              <w:rPr>
                <w:rFonts w:cs="Arial"/>
                <w:szCs w:val="24"/>
              </w:rPr>
              <w:t>dgets to 86.8% (England average 86.9</w:t>
            </w:r>
            <w:r w:rsidRPr="009D5954">
              <w:rPr>
                <w:rFonts w:cs="Arial"/>
                <w:szCs w:val="24"/>
              </w:rPr>
              <w:t xml:space="preserve">%) of people who use care and support services. </w:t>
            </w:r>
          </w:p>
          <w:p w:rsidR="009D5954" w:rsidRPr="009D5954" w:rsidRDefault="009D5954" w:rsidP="009D5954">
            <w:pPr>
              <w:pStyle w:val="ListParagraph"/>
              <w:numPr>
                <w:ilvl w:val="0"/>
                <w:numId w:val="2"/>
              </w:numPr>
              <w:rPr>
                <w:rFonts w:cs="Arial"/>
                <w:szCs w:val="24"/>
              </w:rPr>
            </w:pPr>
            <w:r w:rsidRPr="009D5954">
              <w:rPr>
                <w:rFonts w:cs="Arial"/>
                <w:szCs w:val="24"/>
              </w:rPr>
              <w:t>The proportion of people who use adult social care services who say those services have made them feel safe an</w:t>
            </w:r>
            <w:r w:rsidR="000601AB">
              <w:rPr>
                <w:rFonts w:cs="Arial"/>
                <w:szCs w:val="24"/>
              </w:rPr>
              <w:t>d secure increased further</w:t>
            </w:r>
            <w:r w:rsidRPr="009D5954">
              <w:rPr>
                <w:rFonts w:cs="Arial"/>
                <w:szCs w:val="24"/>
              </w:rPr>
              <w:t xml:space="preserve">. </w:t>
            </w:r>
          </w:p>
          <w:p w:rsidR="009D5954" w:rsidRPr="009D5954" w:rsidRDefault="009D5954" w:rsidP="009D5954">
            <w:pPr>
              <w:pStyle w:val="ListParagraph"/>
              <w:numPr>
                <w:ilvl w:val="0"/>
                <w:numId w:val="2"/>
              </w:numPr>
              <w:rPr>
                <w:rFonts w:cs="Arial"/>
                <w:szCs w:val="24"/>
              </w:rPr>
            </w:pPr>
            <w:r w:rsidRPr="009D5954">
              <w:rPr>
                <w:rFonts w:cs="Arial"/>
                <w:szCs w:val="24"/>
              </w:rPr>
              <w:t>The proportion of people who are in receipt of local authority funded care who say they have as much social contact as they</w:t>
            </w:r>
            <w:r w:rsidR="000601AB">
              <w:rPr>
                <w:rFonts w:cs="Arial"/>
                <w:szCs w:val="24"/>
              </w:rPr>
              <w:t xml:space="preserve"> would like continues to be high</w:t>
            </w:r>
            <w:r w:rsidRPr="009D5954">
              <w:rPr>
                <w:rFonts w:cs="Arial"/>
                <w:szCs w:val="24"/>
              </w:rPr>
              <w:t>.</w:t>
            </w:r>
          </w:p>
          <w:p w:rsidR="0014797B" w:rsidRPr="009D5954" w:rsidRDefault="000601AB" w:rsidP="009D5954">
            <w:pPr>
              <w:pStyle w:val="ListParagraph"/>
              <w:numPr>
                <w:ilvl w:val="0"/>
                <w:numId w:val="2"/>
              </w:numPr>
              <w:rPr>
                <w:rFonts w:cs="Arial"/>
                <w:szCs w:val="24"/>
              </w:rPr>
            </w:pPr>
            <w:r w:rsidRPr="00864688">
              <w:rPr>
                <w:rFonts w:eastAsia="Times New Roman" w:cs="Arial"/>
                <w:color w:val="004890"/>
                <w:szCs w:val="24"/>
                <w:lang w:eastAsia="en-GB"/>
              </w:rPr>
              <w:t xml:space="preserve">The proportion of people who use services who </w:t>
            </w:r>
            <w:r>
              <w:rPr>
                <w:rFonts w:eastAsia="Times New Roman" w:cs="Arial"/>
                <w:color w:val="004890"/>
                <w:szCs w:val="24"/>
                <w:lang w:eastAsia="en-GB"/>
              </w:rPr>
              <w:t>say they have control over their daily life</w:t>
            </w:r>
            <w:r w:rsidRPr="00864688">
              <w:rPr>
                <w:rFonts w:eastAsia="Times New Roman" w:cs="Arial"/>
                <w:color w:val="004890"/>
                <w:szCs w:val="24"/>
                <w:lang w:eastAsia="en-GB"/>
              </w:rPr>
              <w:t xml:space="preserve"> has also </w:t>
            </w:r>
            <w:r>
              <w:rPr>
                <w:rFonts w:eastAsia="Times New Roman" w:cs="Arial"/>
                <w:color w:val="004890"/>
                <w:szCs w:val="24"/>
                <w:lang w:eastAsia="en-GB"/>
              </w:rPr>
              <w:t>continued to increase</w:t>
            </w:r>
            <w:r w:rsidR="009D5954" w:rsidRPr="009D5954">
              <w:rPr>
                <w:rFonts w:cs="Arial"/>
                <w:szCs w:val="24"/>
              </w:rPr>
              <w:t>.</w:t>
            </w:r>
          </w:p>
        </w:tc>
      </w:tr>
    </w:tbl>
    <w:p w:rsidR="00E1226B" w:rsidRDefault="00E1226B" w:rsidP="009D73B1">
      <w:pPr>
        <w:pStyle w:val="Heading1"/>
        <w:sectPr w:rsidR="00E1226B" w:rsidSect="0014797B">
          <w:headerReference w:type="default" r:id="rId10"/>
          <w:footerReference w:type="default" r:id="rId11"/>
          <w:footerReference w:type="first" r:id="rId12"/>
          <w:pgSz w:w="11906" w:h="16838"/>
          <w:pgMar w:top="-582" w:right="991" w:bottom="851" w:left="851" w:header="708" w:footer="401" w:gutter="0"/>
          <w:cols w:space="708"/>
          <w:docGrid w:linePitch="360"/>
        </w:sectPr>
      </w:pPr>
    </w:p>
    <w:p w:rsidR="009D5954" w:rsidRDefault="009D5954" w:rsidP="001151EA"/>
    <w:p w:rsidR="00CB0275" w:rsidRPr="00B22E5B" w:rsidRDefault="00CB0275" w:rsidP="00CB0275">
      <w:pPr>
        <w:pStyle w:val="Heading1"/>
      </w:pPr>
      <w:r>
        <w:t>The Adult Social Care Outcomes Framework</w:t>
      </w:r>
    </w:p>
    <w:p w:rsidR="00CB0275" w:rsidRDefault="00CB0275" w:rsidP="001151EA">
      <w:r w:rsidRPr="00CB0275">
        <w:t>The Adult Social Care Outcome</w:t>
      </w:r>
      <w:r>
        <w:t xml:space="preserve">s Framework (ASCOF) is used by </w:t>
      </w:r>
      <w:r w:rsidRPr="00CB0275">
        <w:t xml:space="preserve">BMDC Adult and Community Services to set priorities for care and support, measure progress and strengthen transparency and accountability. </w:t>
      </w:r>
    </w:p>
    <w:p w:rsidR="00CB0275" w:rsidRDefault="00CB0275" w:rsidP="001151EA"/>
    <w:p w:rsidR="00CB0275" w:rsidRDefault="00CB0275" w:rsidP="00CB0275">
      <w:r>
        <w:t>T</w:t>
      </w:r>
      <w:r w:rsidRPr="00CB0275">
        <w:t xml:space="preserve">he ASCOF provides </w:t>
      </w:r>
      <w:r>
        <w:t>us</w:t>
      </w:r>
      <w:r w:rsidRPr="00CB0275">
        <w:t xml:space="preserve"> with robu</w:t>
      </w:r>
      <w:r>
        <w:t>st information that enables us</w:t>
      </w:r>
      <w:r w:rsidRPr="00CB0275">
        <w:t xml:space="preserve"> to monitor the success of local interventions in improving</w:t>
      </w:r>
      <w:r>
        <w:t xml:space="preserve"> outcomes, and to identify our</w:t>
      </w:r>
      <w:r w:rsidRPr="00CB0275">
        <w:t xml:space="preserve"> priorities for making imp</w:t>
      </w:r>
      <w:r>
        <w:t>rovements. We have</w:t>
      </w:r>
      <w:r w:rsidRPr="00CB0275">
        <w:t xml:space="preserve"> also use</w:t>
      </w:r>
      <w:r>
        <w:t>d the</w:t>
      </w:r>
      <w:r w:rsidRPr="00CB0275">
        <w:t xml:space="preserve"> ASCOF to inform outcome-based commissioning models. </w:t>
      </w:r>
      <w:r>
        <w:t>I</w:t>
      </w:r>
      <w:r w:rsidRPr="00CB0275">
        <w:t xml:space="preserve">t is also a useful resource for </w:t>
      </w:r>
      <w:r>
        <w:t>our Health and Wellbeing board who</w:t>
      </w:r>
      <w:r w:rsidRPr="00CB0275">
        <w:t xml:space="preserve"> use the information to inform their strategic planning and leadership role for local commissioning. </w:t>
      </w:r>
    </w:p>
    <w:p w:rsidR="00CB0275" w:rsidRPr="00CB0275" w:rsidRDefault="00CB0275" w:rsidP="00CB0275"/>
    <w:p w:rsidR="00CB0275" w:rsidRDefault="00CB0275" w:rsidP="00CB0275">
      <w:r>
        <w:t>T</w:t>
      </w:r>
      <w:r w:rsidRPr="00CB0275">
        <w:t xml:space="preserve">he ASCOF also strengthens accountability to local people. By fostering greater transparency on the outcomes delivered by care and support services, it enables local people to hold their council to account for the quality of the services that they provide, commission or arrange. </w:t>
      </w:r>
    </w:p>
    <w:p w:rsidR="00CB0275" w:rsidRDefault="00CB0275" w:rsidP="00CB0275"/>
    <w:p w:rsidR="00CB0275" w:rsidRPr="00CB0275" w:rsidRDefault="00CB0275" w:rsidP="00CB0275">
      <w:r>
        <w:t>We are</w:t>
      </w:r>
      <w:r w:rsidRPr="00CB0275">
        <w:t xml:space="preserve"> also using the ASCOF to develop and publish</w:t>
      </w:r>
      <w:r>
        <w:t xml:space="preserve"> our annual local account</w:t>
      </w:r>
      <w:r w:rsidRPr="00CB0275">
        <w:t xml:space="preserve"> to communicate directly with local communities on the outcomes th</w:t>
      </w:r>
      <w:r>
        <w:t>at are being achieved, and our</w:t>
      </w:r>
      <w:r w:rsidRPr="00CB0275">
        <w:t xml:space="preserve"> priorities for developing local services. </w:t>
      </w:r>
    </w:p>
    <w:p w:rsidR="00CB0275" w:rsidRDefault="00CB0275" w:rsidP="001151EA"/>
    <w:p w:rsidR="009D5954" w:rsidRPr="00B22E5B" w:rsidRDefault="009D5954" w:rsidP="009D5954">
      <w:pPr>
        <w:pStyle w:val="Heading1"/>
      </w:pPr>
      <w:r w:rsidRPr="009D5954">
        <w:t>The quality of care and support</w:t>
      </w:r>
    </w:p>
    <w:p w:rsidR="009D5954" w:rsidRDefault="009D5954" w:rsidP="009D5954">
      <w:pPr>
        <w:spacing w:after="120"/>
      </w:pPr>
      <w:r w:rsidRPr="00B22E5B">
        <w:t>The social care related quality of life indicator provides an overall view of the quality of life the users of their care and supp</w:t>
      </w:r>
      <w:r w:rsidR="000601AB">
        <w:t>ort services experience. In 2014/15</w:t>
      </w:r>
      <w:r w:rsidRPr="00B22E5B">
        <w:t xml:space="preserve"> the overall score f</w:t>
      </w:r>
      <w:r w:rsidR="000601AB">
        <w:t>or users of social care was 19.4</w:t>
      </w:r>
      <w:r w:rsidRPr="00B22E5B">
        <w:t xml:space="preserve"> (out of a maximum possible score</w:t>
      </w:r>
      <w:r w:rsidR="000601AB">
        <w:t xml:space="preserve"> of 24). This increased to 19.5 in 2015/16</w:t>
      </w:r>
      <w:r>
        <w:t xml:space="preserve"> (</w:t>
      </w:r>
      <w:r w:rsidRPr="00A61388">
        <w:t>England average 19.1</w:t>
      </w:r>
      <w:r>
        <w:t>)</w:t>
      </w:r>
      <w:r w:rsidRPr="00B22E5B">
        <w:t xml:space="preserve">. </w:t>
      </w:r>
    </w:p>
    <w:p w:rsidR="00A91129" w:rsidRDefault="00A91129" w:rsidP="009D5954">
      <w:pPr>
        <w:spacing w:after="120"/>
      </w:pPr>
    </w:p>
    <w:p w:rsidR="009D5954" w:rsidRDefault="00C11CB4" w:rsidP="009D5954">
      <w:pPr>
        <w:pStyle w:val="Default"/>
      </w:pPr>
      <w:r>
        <w:rPr>
          <w:noProof/>
          <w:lang w:eastAsia="en-GB"/>
        </w:rPr>
        <w:lastRenderedPageBreak/>
        <w:drawing>
          <wp:inline distT="0" distB="0" distL="0" distR="0">
            <wp:extent cx="6505575" cy="3125726"/>
            <wp:effectExtent l="0" t="0" r="0" b="0"/>
            <wp:docPr id="2" name="Picture 2" descr="C:\Documents and Settings\CharltonC\Local Settings\Temporary Internet Files\Content.Outlook\OTBHQBNM\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arltonC\Local Settings\Temporary Internet Files\Content.Outlook\OTBHQBNM\New Pictu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1344" cy="3138107"/>
                    </a:xfrm>
                    <a:prstGeom prst="rect">
                      <a:avLst/>
                    </a:prstGeom>
                    <a:noFill/>
                    <a:ln>
                      <a:noFill/>
                    </a:ln>
                  </pic:spPr>
                </pic:pic>
              </a:graphicData>
            </a:graphic>
          </wp:inline>
        </w:drawing>
      </w:r>
    </w:p>
    <w:p w:rsidR="00DA0D98" w:rsidRDefault="00DA0D98" w:rsidP="009D5954">
      <w:pPr>
        <w:pStyle w:val="Default"/>
      </w:pPr>
    </w:p>
    <w:p w:rsidR="000601AB" w:rsidRPr="000601AB" w:rsidRDefault="000601AB" w:rsidP="000601AB">
      <w:pPr>
        <w:spacing w:after="120"/>
      </w:pPr>
      <w:r w:rsidRPr="000601AB">
        <w:t>After an increase, from 61.9% in 2013/14 to 62.5% in 2014/15, in the proportion of users who were extremely or very satisfied with the care or support services they received, there has been a further increase to 63.1% in 2015/16 (England average 64.4%).</w:t>
      </w:r>
    </w:p>
    <w:p w:rsidR="009D5954" w:rsidRPr="00B22E5B" w:rsidRDefault="009D5954" w:rsidP="009D5954">
      <w:pPr>
        <w:spacing w:after="120"/>
      </w:pPr>
      <w:r w:rsidRPr="00B22E5B">
        <w:t xml:space="preserve">While it is encouraging that around two thirds of users are extremely or very satisfied with the care and support services they receive, there is room for improvement to ensure that everyone has the best possible experience. </w:t>
      </w:r>
    </w:p>
    <w:p w:rsidR="009D5954" w:rsidRPr="009D5954" w:rsidRDefault="009D5954" w:rsidP="009D5954">
      <w:pPr>
        <w:pStyle w:val="Heading1"/>
      </w:pPr>
      <w:r w:rsidRPr="009D5954">
        <w:t>Support to maintain independence as long as possible</w:t>
      </w:r>
    </w:p>
    <w:p w:rsidR="009D5954" w:rsidRDefault="009D5954" w:rsidP="009D5954">
      <w:pPr>
        <w:spacing w:after="120"/>
      </w:pPr>
      <w:r w:rsidRPr="00B22E5B">
        <w:t>For people with learning disabilities or mental health problems, stable accommodation is an important factor in improving their safety and overall quality of life, but can also be a factor in the risk of social exclus</w:t>
      </w:r>
      <w:r>
        <w:t>ion.  Bradford has seen an improvement in stable accommodation for people with learning disa</w:t>
      </w:r>
      <w:r w:rsidR="00D51E35">
        <w:t>bilities which has risen from 84.4% in 2014/15 to 86.3</w:t>
      </w:r>
      <w:r>
        <w:t>% (</w:t>
      </w:r>
      <w:r w:rsidR="00D51E35">
        <w:t>England average 75.4</w:t>
      </w:r>
      <w:r w:rsidRPr="009D5954">
        <w:t>%</w:t>
      </w:r>
      <w:r w:rsidR="00D51E35">
        <w:t>) in 2015/16</w:t>
      </w:r>
      <w:r>
        <w:t>.  There has also been an improvement in stable accommodation for people wit</w:t>
      </w:r>
      <w:r w:rsidR="00D51E35">
        <w:t>h mental health problems from 66.5</w:t>
      </w:r>
      <w:r>
        <w:t xml:space="preserve">% in </w:t>
      </w:r>
      <w:r w:rsidR="00D51E35">
        <w:t>2014/15 to 69.1</w:t>
      </w:r>
      <w:r>
        <w:t>% (</w:t>
      </w:r>
      <w:r w:rsidR="00D51E35">
        <w:t>England average 58.6</w:t>
      </w:r>
      <w:r w:rsidRPr="009D5954">
        <w:t>%</w:t>
      </w:r>
      <w:r w:rsidR="00D51E35">
        <w:t>) in 2015/16</w:t>
      </w:r>
      <w:r>
        <w:t>.</w:t>
      </w:r>
    </w:p>
    <w:p w:rsidR="009D5954" w:rsidRPr="00CA640C" w:rsidRDefault="009D5954" w:rsidP="00CA640C">
      <w:pPr>
        <w:pStyle w:val="Default"/>
        <w:spacing w:after="120"/>
        <w:rPr>
          <w:b/>
          <w:i/>
        </w:rPr>
      </w:pPr>
      <w:r w:rsidRPr="00CA640C">
        <w:rPr>
          <w:b/>
          <w:i/>
        </w:rPr>
        <w:t>Adults with learning disabilities who live in their own home or with their family</w:t>
      </w:r>
    </w:p>
    <w:p w:rsidR="009D5954" w:rsidRDefault="009D5954" w:rsidP="00291241">
      <w:pPr>
        <w:spacing w:after="120"/>
        <w:rPr>
          <w:rFonts w:cs="Arial"/>
          <w:szCs w:val="24"/>
        </w:rPr>
      </w:pPr>
    </w:p>
    <w:p w:rsidR="009D5954" w:rsidRDefault="003442D3" w:rsidP="009D5954">
      <w:pPr>
        <w:jc w:val="center"/>
        <w:rPr>
          <w:rFonts w:cs="Arial"/>
          <w:b/>
          <w:i/>
          <w:szCs w:val="24"/>
          <w:u w:val="single"/>
        </w:rPr>
      </w:pPr>
      <w:r>
        <w:rPr>
          <w:rFonts w:cs="Arial"/>
          <w:b/>
          <w:i/>
          <w:noProof/>
          <w:szCs w:val="24"/>
          <w:u w:val="single"/>
          <w:lang w:eastAsia="en-GB"/>
        </w:rPr>
        <w:drawing>
          <wp:inline distT="0" distB="0" distL="0" distR="0">
            <wp:extent cx="6390640" cy="2883277"/>
            <wp:effectExtent l="0" t="0" r="0" b="0"/>
            <wp:docPr id="4" name="Picture 4" descr="C:\Documents and Settings\CharltonC\Local Settings\Temporary Internet Files\Content.Outlook\OTBHQBNM\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harltonC\Local Settings\Temporary Internet Files\Content.Outlook\OTBHQBNM\New Pic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0640" cy="2883277"/>
                    </a:xfrm>
                    <a:prstGeom prst="rect">
                      <a:avLst/>
                    </a:prstGeom>
                    <a:noFill/>
                    <a:ln>
                      <a:noFill/>
                    </a:ln>
                  </pic:spPr>
                </pic:pic>
              </a:graphicData>
            </a:graphic>
          </wp:inline>
        </w:drawing>
      </w:r>
    </w:p>
    <w:p w:rsidR="009D5954" w:rsidRPr="00CA640C" w:rsidRDefault="009D5954" w:rsidP="00CA640C">
      <w:pPr>
        <w:pStyle w:val="Default"/>
        <w:keepNext/>
        <w:keepLines/>
        <w:spacing w:after="120"/>
        <w:rPr>
          <w:b/>
          <w:i/>
        </w:rPr>
      </w:pPr>
      <w:r w:rsidRPr="00CA640C">
        <w:rPr>
          <w:b/>
          <w:i/>
        </w:rPr>
        <w:lastRenderedPageBreak/>
        <w:t>Adults in contact with secondary mental health services who live independently, with or without support</w:t>
      </w:r>
    </w:p>
    <w:p w:rsidR="009D5954" w:rsidRDefault="009D5954" w:rsidP="00CA640C">
      <w:pPr>
        <w:pStyle w:val="Default"/>
        <w:keepNext/>
        <w:keepLines/>
      </w:pPr>
    </w:p>
    <w:p w:rsidR="009D5954" w:rsidRPr="00B22E5B" w:rsidRDefault="009D5954" w:rsidP="009D5954">
      <w:pPr>
        <w:spacing w:after="120"/>
      </w:pPr>
      <w:r w:rsidRPr="00B22E5B">
        <w:t>The proportion of people with a learning disability who ar</w:t>
      </w:r>
      <w:r w:rsidR="00266278">
        <w:t>e in paid employment has increased</w:t>
      </w:r>
      <w:r>
        <w:t xml:space="preserve"> slightl</w:t>
      </w:r>
      <w:r w:rsidR="00266278">
        <w:t>y year on year, from 4.9% in 2014/15</w:t>
      </w:r>
      <w:r w:rsidRPr="00B22E5B">
        <w:t xml:space="preserve"> </w:t>
      </w:r>
      <w:r w:rsidR="00266278">
        <w:t>to 5.5</w:t>
      </w:r>
      <w:r>
        <w:t>% (</w:t>
      </w:r>
      <w:r w:rsidR="00266278">
        <w:t>England average 5.8</w:t>
      </w:r>
      <w:r w:rsidRPr="00A61388">
        <w:t>%)</w:t>
      </w:r>
      <w:r w:rsidR="00266278">
        <w:t xml:space="preserve"> in 2015</w:t>
      </w:r>
      <w:r>
        <w:t>/1</w:t>
      </w:r>
      <w:r w:rsidR="00266278">
        <w:t>6</w:t>
      </w:r>
      <w:r>
        <w:t>. T</w:t>
      </w:r>
      <w:r w:rsidRPr="00B22E5B">
        <w:t xml:space="preserve">he proportion of people in contact with secondary mental health services </w:t>
      </w:r>
      <w:r>
        <w:t>i</w:t>
      </w:r>
      <w:r w:rsidR="00266278">
        <w:t>n paid employment has reduced slightly</w:t>
      </w:r>
      <w:r w:rsidRPr="00B22E5B">
        <w:t xml:space="preserve"> </w:t>
      </w:r>
      <w:r w:rsidR="00266278">
        <w:t>from 7% in 2014/15, to 6.1</w:t>
      </w:r>
      <w:r>
        <w:t>% (</w:t>
      </w:r>
      <w:r w:rsidR="00266278">
        <w:t>England average 6.7</w:t>
      </w:r>
      <w:r w:rsidRPr="00A61388">
        <w:t>%)</w:t>
      </w:r>
      <w:r w:rsidR="00266278">
        <w:t xml:space="preserve"> in 2015/16</w:t>
      </w:r>
      <w:r w:rsidRPr="00B22E5B">
        <w:t xml:space="preserve">. This suggests that there is more that could be done to enable people in these two categories to achieve paid employment. </w:t>
      </w:r>
    </w:p>
    <w:p w:rsidR="009D5954" w:rsidRPr="009D5954" w:rsidRDefault="009D5954" w:rsidP="009D5954">
      <w:pPr>
        <w:pStyle w:val="Heading1"/>
      </w:pPr>
      <w:r w:rsidRPr="009D5954">
        <w:t xml:space="preserve">Reablement services </w:t>
      </w:r>
    </w:p>
    <w:p w:rsidR="009D5954" w:rsidRPr="00B22E5B" w:rsidRDefault="009D5954" w:rsidP="009D5954">
      <w:pPr>
        <w:spacing w:after="120"/>
      </w:pPr>
      <w:r w:rsidRPr="00B22E5B">
        <w:t xml:space="preserve">Reablement or rehabilitation services seek to support people, in order to minimise their need for on-going support and to maximise their independence. ASCOF captures the effectiveness of these services for older people, measuring the proportion of older people still at home 91 days after being discharged from hospital into reablement or rehabilitation services. </w:t>
      </w:r>
    </w:p>
    <w:p w:rsidR="009D5954" w:rsidRPr="00B22E5B" w:rsidRDefault="009D5954" w:rsidP="009D5954">
      <w:pPr>
        <w:spacing w:after="120"/>
      </w:pPr>
      <w:r w:rsidRPr="00B22E5B">
        <w:t>The proportion of older people who were still at home 91 days after discharge from</w:t>
      </w:r>
      <w:r>
        <w:t xml:space="preserve"> hosp</w:t>
      </w:r>
      <w:r w:rsidR="00B24888">
        <w:t>ital into reablement has deteriorated over the last 3 years: 88.2</w:t>
      </w:r>
      <w:r>
        <w:t>% (</w:t>
      </w:r>
      <w:r w:rsidR="00B24888">
        <w:t>England average 82.7</w:t>
      </w:r>
      <w:r w:rsidRPr="00A61388">
        <w:t>%)</w:t>
      </w:r>
      <w:r w:rsidR="00B24888">
        <w:t xml:space="preserve"> in 2015/16 compared with 88.8% in 2014/15 and 94.3% in 2013/14</w:t>
      </w:r>
      <w:r w:rsidRPr="00B22E5B">
        <w:t>. However these figures should be viewed in the context of the total number of older people discharged from hospital, and the proportion of those that were offered reablem</w:t>
      </w:r>
      <w:r>
        <w:t>ent servic</w:t>
      </w:r>
      <w:r w:rsidR="00B24888">
        <w:t>es, which has increased from 2.1 in 2014/15 to 2.8 in 2015/16</w:t>
      </w:r>
      <w:r w:rsidRPr="00B22E5B">
        <w:t xml:space="preserve">. </w:t>
      </w:r>
    </w:p>
    <w:p w:rsidR="009D5954" w:rsidRPr="009D5954" w:rsidRDefault="009D5954" w:rsidP="009D5954">
      <w:pPr>
        <w:pStyle w:val="Heading1"/>
      </w:pPr>
      <w:r w:rsidRPr="009D5954">
        <w:t>Understanding how care and support works</w:t>
      </w:r>
    </w:p>
    <w:p w:rsidR="009D5954" w:rsidRPr="00B22E5B" w:rsidRDefault="009D5954" w:rsidP="009D5954">
      <w:pPr>
        <w:spacing w:after="120"/>
      </w:pPr>
      <w:r w:rsidRPr="00B22E5B">
        <w:t>The availability and ease of access to information and advice is vital in helping people, their families and carers to make informed choices about the care they want to receive. The ASCOF measures this by capturing the ease with which people are able to find information ab</w:t>
      </w:r>
      <w:r>
        <w:t xml:space="preserve">out care and support. In Bradford, </w:t>
      </w:r>
      <w:r w:rsidR="00CB27E9">
        <w:t>70.8</w:t>
      </w:r>
      <w:r>
        <w:t>%</w:t>
      </w:r>
      <w:r w:rsidR="00CB27E9">
        <w:t xml:space="preserve"> </w:t>
      </w:r>
      <w:r>
        <w:t>(</w:t>
      </w:r>
      <w:r w:rsidRPr="00A61388">
        <w:t>Englan</w:t>
      </w:r>
      <w:r w:rsidR="00CB27E9">
        <w:t>d average 73.5</w:t>
      </w:r>
      <w:r w:rsidRPr="00A61388">
        <w:t>%</w:t>
      </w:r>
      <w:r>
        <w:t>)</w:t>
      </w:r>
      <w:r w:rsidRPr="00B22E5B">
        <w:t xml:space="preserve"> of people </w:t>
      </w:r>
      <w:r w:rsidR="00CB27E9">
        <w:t>in 2015/16</w:t>
      </w:r>
      <w:r>
        <w:t xml:space="preserve"> </w:t>
      </w:r>
      <w:r w:rsidRPr="00B22E5B">
        <w:t>saying</w:t>
      </w:r>
      <w:r>
        <w:t xml:space="preserve"> that</w:t>
      </w:r>
      <w:r w:rsidRPr="00B22E5B">
        <w:t xml:space="preserve"> they found it very easy or fairly easy to find information</w:t>
      </w:r>
      <w:r w:rsidR="00CB27E9">
        <w:t xml:space="preserve"> or advice compared with 73.3% in 2014/15 and 71.6% in 20</w:t>
      </w:r>
      <w:r>
        <w:t>13</w:t>
      </w:r>
      <w:r w:rsidR="00CB27E9">
        <w:t>/14.</w:t>
      </w:r>
      <w:r w:rsidRPr="00B22E5B">
        <w:t xml:space="preserve"> </w:t>
      </w:r>
    </w:p>
    <w:p w:rsidR="009D5954" w:rsidRPr="009D5954" w:rsidRDefault="009D5954" w:rsidP="009D5954">
      <w:pPr>
        <w:pStyle w:val="Heading1"/>
      </w:pPr>
      <w:r w:rsidRPr="009D5954">
        <w:t>Control of care and support</w:t>
      </w:r>
    </w:p>
    <w:p w:rsidR="009D5954" w:rsidRPr="00B22E5B" w:rsidRDefault="009D5954" w:rsidP="009D5954">
      <w:pPr>
        <w:spacing w:after="120"/>
      </w:pPr>
      <w:r w:rsidRPr="00B22E5B">
        <w:t xml:space="preserve">The Government wants to give people more control over their health and social care. Personalisation means building support around the individual and providing people with more choice, control and flexibility in the way they receive care and support – regardless of the setting in which they receive it. </w:t>
      </w:r>
    </w:p>
    <w:p w:rsidR="009D5954" w:rsidRDefault="009D5954" w:rsidP="00CA640C">
      <w:pPr>
        <w:spacing w:after="120"/>
      </w:pPr>
      <w:r w:rsidRPr="00B22E5B">
        <w:t xml:space="preserve">This emphasis on providing care over which users have choice and control is reflected in ASCOF; and the extent to which users of care and support feel in control of their daily lives are the key indicators of the </w:t>
      </w:r>
      <w:r w:rsidR="007B3612">
        <w:t>personalisation of care. In 2015</w:t>
      </w:r>
      <w:r>
        <w:t>/1</w:t>
      </w:r>
      <w:r w:rsidR="007B3612">
        <w:t>6, 79.2</w:t>
      </w:r>
      <w:r w:rsidRPr="00B22E5B">
        <w:t>%</w:t>
      </w:r>
      <w:r>
        <w:t xml:space="preserve"> (</w:t>
      </w:r>
      <w:r w:rsidRPr="00A61388">
        <w:t>Englan</w:t>
      </w:r>
      <w:r w:rsidR="007B3612">
        <w:t>d average 76.6</w:t>
      </w:r>
      <w:r w:rsidRPr="00A61388">
        <w:t>%</w:t>
      </w:r>
      <w:r w:rsidRPr="009D5954">
        <w:t>)</w:t>
      </w:r>
      <w:r w:rsidRPr="00B22E5B">
        <w:t xml:space="preserve"> of users surveyed reported having either as much control as they want or adequate control over their daily</w:t>
      </w:r>
      <w:r w:rsidR="0066530B">
        <w:t xml:space="preserve"> life, compared to 77.8</w:t>
      </w:r>
      <w:r w:rsidR="007B3612">
        <w:t>% in 2014/15</w:t>
      </w:r>
      <w:r w:rsidR="0066530B">
        <w:t xml:space="preserve"> and 78.1% in 2013/14</w:t>
      </w:r>
      <w:r w:rsidRPr="00B22E5B">
        <w:t xml:space="preserve">. While it is encouraging to see over three quarters of people feel in control of their daily lives, it is important that, where possible, more is done to improve outcomes in this area for all who use care and support. </w:t>
      </w:r>
    </w:p>
    <w:p w:rsidR="009D5954" w:rsidRDefault="009D5954" w:rsidP="00CA640C">
      <w:pPr>
        <w:pStyle w:val="Default"/>
        <w:keepNext/>
        <w:keepLines/>
        <w:spacing w:after="120"/>
        <w:rPr>
          <w:b/>
          <w:i/>
        </w:rPr>
      </w:pPr>
      <w:r w:rsidRPr="00CA640C">
        <w:rPr>
          <w:b/>
          <w:i/>
        </w:rPr>
        <w:lastRenderedPageBreak/>
        <w:t>Proportion of people who use services who have control over their daily life</w:t>
      </w:r>
    </w:p>
    <w:p w:rsidR="00BE1659" w:rsidRPr="00CA640C" w:rsidRDefault="00BE1659" w:rsidP="00CA640C">
      <w:pPr>
        <w:pStyle w:val="Default"/>
        <w:keepNext/>
        <w:keepLines/>
        <w:spacing w:after="120"/>
        <w:rPr>
          <w:b/>
          <w:i/>
        </w:rPr>
      </w:pPr>
    </w:p>
    <w:p w:rsidR="009D5954" w:rsidRDefault="00BE1659" w:rsidP="009D5954">
      <w:pPr>
        <w:pStyle w:val="Default"/>
      </w:pPr>
      <w:r>
        <w:rPr>
          <w:noProof/>
          <w:lang w:eastAsia="en-GB"/>
        </w:rPr>
        <w:drawing>
          <wp:inline distT="0" distB="0" distL="0" distR="0">
            <wp:extent cx="6390640" cy="2908240"/>
            <wp:effectExtent l="0" t="0" r="0" b="6985"/>
            <wp:docPr id="7" name="Picture 7" descr="C:\Documents and Settings\CharltonC\Local Settings\Temporary Internet Files\Content.Outlook\OTBHQBNM\New Pic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harltonC\Local Settings\Temporary Internet Files\Content.Outlook\OTBHQBNM\New Picture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0640" cy="2908240"/>
                    </a:xfrm>
                    <a:prstGeom prst="rect">
                      <a:avLst/>
                    </a:prstGeom>
                    <a:noFill/>
                    <a:ln>
                      <a:noFill/>
                    </a:ln>
                  </pic:spPr>
                </pic:pic>
              </a:graphicData>
            </a:graphic>
          </wp:inline>
        </w:drawing>
      </w:r>
    </w:p>
    <w:p w:rsidR="009D5954" w:rsidRPr="00B22E5B" w:rsidRDefault="009D5954" w:rsidP="009D5954">
      <w:pPr>
        <w:spacing w:after="120"/>
      </w:pPr>
      <w:r w:rsidRPr="00B22E5B">
        <w:t>There has been a further increase in the us</w:t>
      </w:r>
      <w:r>
        <w:t>e of personal bud</w:t>
      </w:r>
      <w:r w:rsidR="00C410F5">
        <w:t>gets. The ASCOF showed that 86.8</w:t>
      </w:r>
      <w:r>
        <w:t>% (</w:t>
      </w:r>
      <w:r w:rsidR="00C410F5">
        <w:t>England average 86.9</w:t>
      </w:r>
      <w:r w:rsidRPr="00A61388">
        <w:t>%)</w:t>
      </w:r>
      <w:r w:rsidRPr="00B22E5B">
        <w:t xml:space="preserve"> of users of comm</w:t>
      </w:r>
      <w:r>
        <w:t xml:space="preserve">unity based services and </w:t>
      </w:r>
      <w:r w:rsidRPr="00B22E5B">
        <w:t>re</w:t>
      </w:r>
      <w:r w:rsidR="00C410F5">
        <w:t>ceived a personal budget in 2015/16, compared to 79.4% in 2014/15</w:t>
      </w:r>
      <w:r w:rsidRPr="00B22E5B">
        <w:t>, highlighting the continuing pr</w:t>
      </w:r>
      <w:r>
        <w:t>ogress of Bradford</w:t>
      </w:r>
      <w:r w:rsidRPr="00B22E5B">
        <w:t xml:space="preserve"> in delivering personalised care. </w:t>
      </w:r>
    </w:p>
    <w:p w:rsidR="009D5954" w:rsidRPr="009D5954" w:rsidRDefault="009D5954" w:rsidP="009D5954">
      <w:pPr>
        <w:pStyle w:val="Heading1"/>
      </w:pPr>
      <w:r w:rsidRPr="009D5954">
        <w:t>Safeguarding</w:t>
      </w:r>
    </w:p>
    <w:p w:rsidR="009D5954" w:rsidRPr="009D5954" w:rsidRDefault="009D5954" w:rsidP="009D5954">
      <w:pPr>
        <w:spacing w:after="120"/>
      </w:pPr>
      <w:r w:rsidRPr="009D5954">
        <w:t>The Government’s aim is to prevent and reduce the risk of adults with care and support needs from experiencing abuse or neglect. All adult social care users, including those whose circumstances make them vulnerable, shou</w:t>
      </w:r>
      <w:r w:rsidR="00C410F5">
        <w:t>ld feel safe and secure. In 2015/16</w:t>
      </w:r>
      <w:r w:rsidRPr="009D5954">
        <w:t xml:space="preserve"> the proportion of people who said that </w:t>
      </w:r>
      <w:r w:rsidR="00C410F5">
        <w:t>they felt safe and secure was 73.2% (England average 69.2%), an increase from 2014/15 where the proportion was 70.7</w:t>
      </w:r>
      <w:r w:rsidRPr="009D5954">
        <w:t xml:space="preserve">%. </w:t>
      </w:r>
    </w:p>
    <w:p w:rsidR="009D5954" w:rsidRPr="009D5954" w:rsidRDefault="00506A6F" w:rsidP="009D5954">
      <w:pPr>
        <w:spacing w:after="120"/>
      </w:pPr>
      <w:r>
        <w:t xml:space="preserve">The </w:t>
      </w:r>
      <w:r w:rsidR="009D5954" w:rsidRPr="009D5954">
        <w:t>ASCOF also measures how safe the services that users rece</w:t>
      </w:r>
      <w:r>
        <w:t>ive have made them feel. In 2015/16 84.4% (England average 85.4</w:t>
      </w:r>
      <w:r w:rsidR="009D5954" w:rsidRPr="009D5954">
        <w:t>%) of adult social care users said that the services they receive have made them fee</w:t>
      </w:r>
      <w:r>
        <w:t>l safe and secure, an increase from 82.3% in 2014/15 and 73.3% in 2013/14.</w:t>
      </w:r>
    </w:p>
    <w:p w:rsidR="009D5954" w:rsidRPr="009D5954" w:rsidRDefault="009D5954" w:rsidP="009D5954">
      <w:pPr>
        <w:pStyle w:val="Heading1"/>
      </w:pPr>
      <w:r w:rsidRPr="009D5954">
        <w:t>Social Contact</w:t>
      </w:r>
    </w:p>
    <w:p w:rsidR="009D5954" w:rsidRPr="009D5954" w:rsidRDefault="009D5954" w:rsidP="009D5954">
      <w:pPr>
        <w:spacing w:after="120"/>
      </w:pPr>
      <w:r w:rsidRPr="009D5954">
        <w:t xml:space="preserve">The social isolation indicator, introduced in 2013/14, has shown that approximately 50% of social care service users do not have as much social contact as they would like. This shows that there is scope for Bradford to make progress in order to achieve social integration for the users of social care services. Overall, </w:t>
      </w:r>
      <w:r w:rsidR="00AB00D1">
        <w:t xml:space="preserve">compared to Regional and England averages </w:t>
      </w:r>
      <w:r w:rsidRPr="009D5954">
        <w:t>there</w:t>
      </w:r>
      <w:r w:rsidR="00AB00D1">
        <w:t xml:space="preserve"> has been a consistently high</w:t>
      </w:r>
      <w:r w:rsidRPr="009D5954">
        <w:t xml:space="preserve"> proportion </w:t>
      </w:r>
      <w:r w:rsidR="00AB00D1">
        <w:t xml:space="preserve">of people </w:t>
      </w:r>
      <w:r w:rsidRPr="009D5954">
        <w:t xml:space="preserve">who </w:t>
      </w:r>
      <w:r w:rsidR="00AB00D1">
        <w:t>said they have</w:t>
      </w:r>
      <w:r w:rsidRPr="009D5954">
        <w:t xml:space="preserve"> as much social contact as they would like, over the </w:t>
      </w:r>
      <w:r w:rsidR="00AB00D1">
        <w:t>last 3 years, from 49% in 2013/14, to 52.2% in 2014/15 and 51</w:t>
      </w:r>
      <w:r w:rsidRPr="009D5954">
        <w:t>.</w:t>
      </w:r>
      <w:r w:rsidR="00AB00D1">
        <w:t>4% in 2015/16 (England average 45.4</w:t>
      </w:r>
      <w:r w:rsidRPr="009D5954">
        <w:t>%).</w:t>
      </w:r>
    </w:p>
    <w:p w:rsidR="009D5954" w:rsidRPr="009D5954" w:rsidRDefault="009D5954" w:rsidP="009D5954">
      <w:pPr>
        <w:pStyle w:val="Heading1"/>
      </w:pPr>
      <w:r w:rsidRPr="009D5954">
        <w:t>Permanent Admissions</w:t>
      </w:r>
    </w:p>
    <w:p w:rsidR="009D5954" w:rsidRPr="009D5954" w:rsidRDefault="009D5954" w:rsidP="009D5954">
      <w:pPr>
        <w:spacing w:after="120"/>
      </w:pPr>
      <w:r w:rsidRPr="009D5954">
        <w:t>The number of permanent admissions to residential and nursing care is a good measure of the effectiveness of care and support in delaying dependency on care and support services. The inclusion of this measure in the framework supports local health and social care services to work together to reduce avoidable admissions where appropriate.</w:t>
      </w:r>
    </w:p>
    <w:p w:rsidR="009D5954" w:rsidRDefault="009D5954" w:rsidP="009D5954">
      <w:pPr>
        <w:spacing w:after="120"/>
      </w:pPr>
      <w:r w:rsidRPr="009D5954">
        <w:t>For measures regarding delaying dep</w:t>
      </w:r>
      <w:r w:rsidR="00CC181D">
        <w:t>endency for older people in 2015/16 there were 513 (England average 628</w:t>
      </w:r>
      <w:r w:rsidRPr="009D5954">
        <w:t>) permanent admissions to residential care or nursing homes per 100,000 population for adults aged 65</w:t>
      </w:r>
      <w:r w:rsidR="00CC181D">
        <w:t xml:space="preserve"> or over</w:t>
      </w:r>
      <w:r w:rsidRPr="009D5954">
        <w:t>.  The proportion of younger adults (aged 18-64) who were permanen</w:t>
      </w:r>
      <w:r w:rsidR="00CC181D">
        <w:t>tly admitted to care homes was 14 (England average 13.3</w:t>
      </w:r>
      <w:r w:rsidRPr="009D5954">
        <w:t>) per 100,000 population</w:t>
      </w:r>
      <w:r w:rsidR="008D5636">
        <w:t>.</w:t>
      </w:r>
    </w:p>
    <w:p w:rsidR="00487DFF" w:rsidRDefault="00487DFF" w:rsidP="00487DFF"/>
    <w:p w:rsidR="00D56EE9" w:rsidRPr="00D56EE9" w:rsidRDefault="00D56EE9" w:rsidP="00D56EE9">
      <w:pPr>
        <w:pStyle w:val="Heading1"/>
      </w:pPr>
      <w:r>
        <w:t xml:space="preserve">Requests for Support: </w:t>
      </w:r>
      <w:r w:rsidRPr="00D56EE9">
        <w:t xml:space="preserve">The level of demand for social care services from new clients </w:t>
      </w:r>
    </w:p>
    <w:p w:rsidR="00D56EE9" w:rsidRPr="00D56EE9" w:rsidRDefault="00D56EE9" w:rsidP="00D56EE9">
      <w:pPr>
        <w:spacing w:after="120"/>
      </w:pPr>
      <w:r w:rsidRPr="00D56EE9">
        <w:t xml:space="preserve">Requests for support made in relation to the provision of adult social care services are captured by local authorities, and reported by both the route of access (which setting the request originated from) and their sequel, the outcome of the request (what provision if any was offered). </w:t>
      </w:r>
      <w:r>
        <w:t>T</w:t>
      </w:r>
      <w:r w:rsidRPr="00D56EE9">
        <w:t xml:space="preserve">he routes of access are Transition, Discharge from Hospital, Diversion from Hospital Services and through the Community. </w:t>
      </w:r>
    </w:p>
    <w:p w:rsidR="00D56EE9" w:rsidRDefault="00D56EE9" w:rsidP="00D56EE9">
      <w:pPr>
        <w:autoSpaceDE w:val="0"/>
        <w:autoSpaceDN w:val="0"/>
        <w:adjustRightInd w:val="0"/>
      </w:pPr>
      <w:r>
        <w:t>T</w:t>
      </w:r>
      <w:r w:rsidRPr="00D56EE9">
        <w:t>he sequels are Short Term Support to Maximise Independence (ST-Max, a range of services that are of short duration typically being provided for a few weeks with the explicit aim of trying to minimise the person’s use of on</w:t>
      </w:r>
      <w:r w:rsidR="001E0EFD">
        <w:t>-</w:t>
      </w:r>
      <w:r w:rsidRPr="00D56EE9">
        <w:t>going social care services), Long Term Support, End of Life care, On</w:t>
      </w:r>
      <w:r w:rsidR="001E0EFD">
        <w:t>-</w:t>
      </w:r>
      <w:r w:rsidRPr="00D56EE9">
        <w:t xml:space="preserve">going low level support, Other Short Term Support, Universal Services, or No services provided. </w:t>
      </w:r>
    </w:p>
    <w:p w:rsidR="00D56EE9" w:rsidRPr="00D56EE9" w:rsidRDefault="00D56EE9" w:rsidP="00D56EE9">
      <w:pPr>
        <w:autoSpaceDE w:val="0"/>
        <w:autoSpaceDN w:val="0"/>
        <w:adjustRightInd w:val="0"/>
      </w:pPr>
    </w:p>
    <w:p w:rsidR="00D56EE9" w:rsidRDefault="008D5636" w:rsidP="00D56EE9">
      <w:pPr>
        <w:autoSpaceDE w:val="0"/>
        <w:autoSpaceDN w:val="0"/>
        <w:adjustRightInd w:val="0"/>
      </w:pPr>
      <w:r>
        <w:t>In Bradford t</w:t>
      </w:r>
      <w:r w:rsidR="00D56EE9" w:rsidRPr="00D56EE9">
        <w:t xml:space="preserve">hese requests </w:t>
      </w:r>
      <w:r>
        <w:t>are received by</w:t>
      </w:r>
      <w:r w:rsidR="00D56EE9" w:rsidRPr="00D56EE9">
        <w:t xml:space="preserve"> </w:t>
      </w:r>
      <w:r>
        <w:t xml:space="preserve">either </w:t>
      </w:r>
      <w:r w:rsidR="00D56EE9" w:rsidRPr="00D56EE9">
        <w:t xml:space="preserve">Adult </w:t>
      </w:r>
      <w:r>
        <w:t>Services Access Point, via the Social Work teams at the Hospitals or via the Sensory Needs Service at Morley Street</w:t>
      </w:r>
      <w:r w:rsidR="00D56EE9" w:rsidRPr="00D56EE9">
        <w:t xml:space="preserve">. </w:t>
      </w:r>
    </w:p>
    <w:p w:rsidR="00EA184B" w:rsidRPr="00D56EE9" w:rsidRDefault="00EA184B" w:rsidP="00D56EE9">
      <w:pPr>
        <w:autoSpaceDE w:val="0"/>
        <w:autoSpaceDN w:val="0"/>
        <w:adjustRightInd w:val="0"/>
      </w:pPr>
    </w:p>
    <w:p w:rsidR="00D56EE9" w:rsidRPr="00D56EE9" w:rsidRDefault="008D5636" w:rsidP="00D56EE9">
      <w:pPr>
        <w:autoSpaceDE w:val="0"/>
        <w:autoSpaceDN w:val="0"/>
        <w:adjustRightInd w:val="0"/>
        <w:spacing w:after="157"/>
      </w:pPr>
      <w:r>
        <w:t>There were 31,500</w:t>
      </w:r>
      <w:r w:rsidR="00EA184B" w:rsidRPr="00EA184B">
        <w:t xml:space="preserve"> </w:t>
      </w:r>
      <w:r w:rsidR="00D56EE9" w:rsidRPr="00D56EE9">
        <w:t>requests for support from new clients, which had reached the stage of having a known sequel during the reporting perio</w:t>
      </w:r>
      <w:r>
        <w:t>d. 22</w:t>
      </w:r>
      <w:r w:rsidR="00D56EE9" w:rsidRPr="00D56EE9">
        <w:t xml:space="preserve"> per cent of these were from clients a</w:t>
      </w:r>
      <w:r>
        <w:t>ged 18-64, with the remaining 78</w:t>
      </w:r>
      <w:r w:rsidR="00D56EE9" w:rsidRPr="00D56EE9">
        <w:t xml:space="preserve"> per cent from clients aged 65 and over. </w:t>
      </w:r>
    </w:p>
    <w:p w:rsidR="00D56EE9" w:rsidRPr="00D56EE9" w:rsidRDefault="008D5636" w:rsidP="00D56EE9">
      <w:pPr>
        <w:autoSpaceDE w:val="0"/>
        <w:autoSpaceDN w:val="0"/>
        <w:adjustRightInd w:val="0"/>
        <w:spacing w:after="157"/>
      </w:pPr>
      <w:r>
        <w:t>46</w:t>
      </w:r>
      <w:r w:rsidR="00D56EE9" w:rsidRPr="00D56EE9">
        <w:t xml:space="preserve"> per cent of requests for support resulted in no direct support from the council</w:t>
      </w:r>
      <w:r>
        <w:t xml:space="preserve"> and where the individuals were signposted to other services.</w:t>
      </w:r>
      <w:r w:rsidR="00D56EE9" w:rsidRPr="00D56EE9">
        <w:t xml:space="preserve"> </w:t>
      </w:r>
    </w:p>
    <w:p w:rsidR="0047275F" w:rsidRDefault="008D5636" w:rsidP="008D5636">
      <w:pPr>
        <w:autoSpaceDE w:val="0"/>
        <w:autoSpaceDN w:val="0"/>
        <w:adjustRightInd w:val="0"/>
        <w:spacing w:after="157"/>
      </w:pPr>
      <w:r>
        <w:t>29</w:t>
      </w:r>
      <w:r w:rsidR="00D56EE9" w:rsidRPr="00D56EE9">
        <w:t xml:space="preserve"> per cent of requests for support for new clients aged 65 and over came through the Discharge from Hospital ro</w:t>
      </w:r>
      <w:r>
        <w:t>ute of access (compared to 12</w:t>
      </w:r>
      <w:r w:rsidR="00D56EE9" w:rsidRPr="00D56EE9">
        <w:t xml:space="preserve"> percent of requests from 18-64 year olds). </w:t>
      </w:r>
    </w:p>
    <w:p w:rsidR="008D5636" w:rsidRPr="00EA184B" w:rsidRDefault="008D5636" w:rsidP="008D5636">
      <w:pPr>
        <w:autoSpaceDE w:val="0"/>
        <w:autoSpaceDN w:val="0"/>
        <w:adjustRightInd w:val="0"/>
        <w:spacing w:after="157"/>
      </w:pPr>
    </w:p>
    <w:p w:rsidR="0047275F" w:rsidRPr="0047275F" w:rsidRDefault="0047275F" w:rsidP="0047275F">
      <w:pPr>
        <w:pStyle w:val="Heading1"/>
      </w:pPr>
      <w:r w:rsidRPr="0047275F">
        <w:t>Short Term S</w:t>
      </w:r>
      <w:r>
        <w:t>upport to Maximise Independence</w:t>
      </w:r>
      <w:r w:rsidRPr="0047275F">
        <w:t xml:space="preserve">: The impact of a limited period of Short Term Support </w:t>
      </w:r>
    </w:p>
    <w:p w:rsidR="0047275F" w:rsidRPr="0047275F" w:rsidRDefault="0047275F" w:rsidP="0047275F">
      <w:pPr>
        <w:autoSpaceDE w:val="0"/>
        <w:autoSpaceDN w:val="0"/>
        <w:adjustRightInd w:val="0"/>
        <w:rPr>
          <w:rFonts w:cs="Arial"/>
          <w:color w:val="000000"/>
          <w:sz w:val="23"/>
          <w:szCs w:val="23"/>
        </w:rPr>
      </w:pPr>
    </w:p>
    <w:p w:rsidR="0047275F" w:rsidRPr="0047275F" w:rsidRDefault="0047275F" w:rsidP="0047275F">
      <w:pPr>
        <w:autoSpaceDE w:val="0"/>
        <w:autoSpaceDN w:val="0"/>
        <w:adjustRightInd w:val="0"/>
      </w:pPr>
      <w:r w:rsidRPr="0047275F">
        <w:t xml:space="preserve">This provides some indication of the outcomes of services intended to maximise the independence of new clients. Tracking the sequels to short term services gives an idea of the effectiveness of preventing longer-term reliance on social care. </w:t>
      </w:r>
    </w:p>
    <w:p w:rsidR="0047275F" w:rsidRPr="0047275F" w:rsidRDefault="0047275F" w:rsidP="0047275F">
      <w:pPr>
        <w:autoSpaceDE w:val="0"/>
        <w:autoSpaceDN w:val="0"/>
        <w:adjustRightInd w:val="0"/>
      </w:pPr>
    </w:p>
    <w:p w:rsidR="0047275F" w:rsidRDefault="0047275F" w:rsidP="0047275F">
      <w:pPr>
        <w:autoSpaceDE w:val="0"/>
        <w:autoSpaceDN w:val="0"/>
        <w:adjustRightInd w:val="0"/>
      </w:pPr>
      <w:r>
        <w:t>There w</w:t>
      </w:r>
      <w:r w:rsidR="008D5636">
        <w:t>ere approx. 3,000</w:t>
      </w:r>
      <w:r w:rsidRPr="0047275F">
        <w:t xml:space="preserve"> completed instances of ST-Ma</w:t>
      </w:r>
      <w:r w:rsidR="008D5636">
        <w:t>x for new clients. Just under half (43</w:t>
      </w:r>
      <w:r w:rsidRPr="0047275F">
        <w:t xml:space="preserve"> per cent) received ST-Max following a Discharge from Hospi</w:t>
      </w:r>
      <w:r w:rsidR="008D5636">
        <w:t>tal. Of these, 19</w:t>
      </w:r>
      <w:r w:rsidRPr="0047275F">
        <w:t xml:space="preserve"> per cent had no further </w:t>
      </w:r>
      <w:r w:rsidR="008D5636">
        <w:t>needs identified (compared to 17</w:t>
      </w:r>
      <w:r w:rsidRPr="0047275F">
        <w:t xml:space="preserve"> per cent of all completed ST-Max for new clients). </w:t>
      </w:r>
    </w:p>
    <w:p w:rsidR="0047275F" w:rsidRPr="0047275F" w:rsidRDefault="0047275F" w:rsidP="0047275F">
      <w:pPr>
        <w:autoSpaceDE w:val="0"/>
        <w:autoSpaceDN w:val="0"/>
        <w:adjustRightInd w:val="0"/>
      </w:pPr>
    </w:p>
    <w:p w:rsidR="0047275F" w:rsidRDefault="0047275F" w:rsidP="0047275F">
      <w:pPr>
        <w:autoSpaceDE w:val="0"/>
        <w:autoSpaceDN w:val="0"/>
        <w:adjustRightInd w:val="0"/>
      </w:pPr>
      <w:r>
        <w:t xml:space="preserve">The majority of clients </w:t>
      </w:r>
      <w:r w:rsidR="00833459">
        <w:t>2583 (86</w:t>
      </w:r>
      <w:r w:rsidRPr="0047275F">
        <w:t xml:space="preserve"> per cent) have a Primary Support Reason of Physical Support: Personal Care Support. </w:t>
      </w:r>
    </w:p>
    <w:p w:rsidR="0047275F" w:rsidRPr="0047275F" w:rsidRDefault="0047275F" w:rsidP="0047275F">
      <w:pPr>
        <w:autoSpaceDE w:val="0"/>
        <w:autoSpaceDN w:val="0"/>
        <w:adjustRightInd w:val="0"/>
      </w:pPr>
    </w:p>
    <w:p w:rsidR="0047275F" w:rsidRPr="0047275F" w:rsidRDefault="00833459" w:rsidP="0047275F">
      <w:pPr>
        <w:autoSpaceDE w:val="0"/>
        <w:autoSpaceDN w:val="0"/>
        <w:adjustRightInd w:val="0"/>
      </w:pPr>
      <w:r>
        <w:t>There were 480</w:t>
      </w:r>
      <w:r w:rsidR="0047275F" w:rsidRPr="0047275F">
        <w:t xml:space="preserve"> completed instances of</w:t>
      </w:r>
      <w:r>
        <w:t xml:space="preserve"> ST-Max for existing clients. 38</w:t>
      </w:r>
      <w:r w:rsidR="0047275F" w:rsidRPr="0047275F">
        <w:t xml:space="preserve"> per cent of these saw the client returning to Long Term Support. </w:t>
      </w:r>
    </w:p>
    <w:p w:rsidR="0047275F" w:rsidRPr="00D56EE9" w:rsidRDefault="0047275F" w:rsidP="00D56EE9">
      <w:pPr>
        <w:autoSpaceDE w:val="0"/>
        <w:autoSpaceDN w:val="0"/>
        <w:adjustRightInd w:val="0"/>
        <w:rPr>
          <w:rFonts w:cs="Arial"/>
          <w:color w:val="000000"/>
          <w:sz w:val="23"/>
          <w:szCs w:val="23"/>
        </w:rPr>
      </w:pPr>
    </w:p>
    <w:p w:rsidR="0047275F" w:rsidRPr="0047275F" w:rsidRDefault="0047275F" w:rsidP="001523D7">
      <w:pPr>
        <w:spacing w:after="120"/>
        <w:rPr>
          <w:rFonts w:eastAsiaTheme="majorEastAsia" w:cstheme="majorBidi"/>
          <w:bCs/>
          <w:color w:val="4F81BD" w:themeColor="accent1"/>
          <w:spacing w:val="20"/>
          <w:sz w:val="32"/>
          <w:szCs w:val="28"/>
        </w:rPr>
      </w:pPr>
      <w:r w:rsidRPr="0047275F">
        <w:rPr>
          <w:rFonts w:eastAsiaTheme="majorEastAsia" w:cstheme="majorBidi"/>
          <w:bCs/>
          <w:color w:val="4F81BD" w:themeColor="accent1"/>
          <w:spacing w:val="20"/>
          <w:sz w:val="32"/>
          <w:szCs w:val="28"/>
        </w:rPr>
        <w:t xml:space="preserve">Long Term Support </w:t>
      </w:r>
    </w:p>
    <w:p w:rsidR="001523D7" w:rsidRPr="001523D7" w:rsidRDefault="001523D7" w:rsidP="001523D7">
      <w:pPr>
        <w:spacing w:after="120"/>
      </w:pPr>
      <w:r>
        <w:t>Care and Support s</w:t>
      </w:r>
      <w:r w:rsidRPr="001523D7">
        <w:t xml:space="preserve">ervices </w:t>
      </w:r>
      <w:r>
        <w:t xml:space="preserve">are </w:t>
      </w:r>
      <w:r w:rsidRPr="001523D7">
        <w:t xml:space="preserve">provided </w:t>
      </w:r>
      <w:r>
        <w:t xml:space="preserve">or commissioned by BMDC Adult and Community Services </w:t>
      </w:r>
      <w:r w:rsidRPr="001523D7">
        <w:t>with the intention of maintaining quality of life for an individual on an on</w:t>
      </w:r>
      <w:r>
        <w:t>-</w:t>
      </w:r>
      <w:r w:rsidRPr="001523D7">
        <w:t>going basis</w:t>
      </w:r>
      <w:r>
        <w:t>.</w:t>
      </w:r>
      <w:r w:rsidRPr="001523D7">
        <w:t xml:space="preserve"> </w:t>
      </w:r>
    </w:p>
    <w:p w:rsidR="009D5954" w:rsidRDefault="001523D7" w:rsidP="001523D7">
      <w:pPr>
        <w:spacing w:after="120"/>
      </w:pPr>
      <w:r w:rsidRPr="001523D7">
        <w:t>Long Term support is allocated on the basis of eligibility criteria / policies (i.e. an assessment of need has taken place), and are subject to regular review.</w:t>
      </w:r>
    </w:p>
    <w:p w:rsidR="00D56EE9" w:rsidRPr="00D56EE9" w:rsidRDefault="0045737C" w:rsidP="00D56EE9">
      <w:pPr>
        <w:spacing w:after="120"/>
      </w:pPr>
      <w:r>
        <w:lastRenderedPageBreak/>
        <w:t>There were 7,630</w:t>
      </w:r>
      <w:r w:rsidR="00D56EE9" w:rsidRPr="00D56EE9">
        <w:t xml:space="preserve"> clients receiving long term sup</w:t>
      </w:r>
      <w:r w:rsidR="00D56EE9">
        <w:t>port during 2015-16</w:t>
      </w:r>
      <w:r w:rsidR="00D56EE9" w:rsidRPr="00D56EE9">
        <w:t xml:space="preserve">. </w:t>
      </w:r>
      <w:r>
        <w:t>5,740</w:t>
      </w:r>
      <w:r w:rsidR="00D56EE9" w:rsidRPr="00D56EE9">
        <w:t xml:space="preserve"> were still accessing long term support at</w:t>
      </w:r>
      <w:r>
        <w:t xml:space="preserve"> year end, and of these, 5,020</w:t>
      </w:r>
      <w:r w:rsidR="00D56EE9" w:rsidRPr="00D56EE9">
        <w:t xml:space="preserve"> had been accessing long term support for more than 12 months. </w:t>
      </w:r>
    </w:p>
    <w:p w:rsidR="00D56EE9" w:rsidRPr="00D56EE9" w:rsidRDefault="0045737C" w:rsidP="00D56EE9">
      <w:pPr>
        <w:spacing w:after="120"/>
      </w:pPr>
      <w:r>
        <w:t>85</w:t>
      </w:r>
      <w:r w:rsidR="00D56EE9" w:rsidRPr="00D56EE9">
        <w:t xml:space="preserve"> per cent of clients accessing Long Term Support in a Community setting at year end had a carer identified. </w:t>
      </w:r>
    </w:p>
    <w:p w:rsidR="00D56EE9" w:rsidRPr="00D56EE9" w:rsidRDefault="00D56EE9" w:rsidP="00D56EE9">
      <w:pPr>
        <w:spacing w:after="120"/>
      </w:pPr>
      <w:r w:rsidRPr="00D56EE9">
        <w:t>The most common Primary Support Reason for clients aged 18-64 was Lea</w:t>
      </w:r>
      <w:r>
        <w:t>rning Disability Su</w:t>
      </w:r>
      <w:r w:rsidR="0045737C">
        <w:t>pport (for 58</w:t>
      </w:r>
      <w:r w:rsidRPr="00D56EE9">
        <w:t xml:space="preserve"> per cent of clients), and for clients aged 65 and over it was Physical Suppor</w:t>
      </w:r>
      <w:r w:rsidR="0045737C">
        <w:t>t: Personal Care Support (for 73</w:t>
      </w:r>
      <w:r w:rsidRPr="00D56EE9">
        <w:t xml:space="preserve"> per cent of clients). </w:t>
      </w:r>
    </w:p>
    <w:p w:rsidR="008D5636" w:rsidRDefault="008D5636" w:rsidP="001523D7">
      <w:pPr>
        <w:spacing w:after="120"/>
      </w:pPr>
    </w:p>
    <w:tbl>
      <w:tblPr>
        <w:tblW w:w="9905" w:type="dxa"/>
        <w:tblLook w:val="04A0" w:firstRow="1" w:lastRow="0" w:firstColumn="1" w:lastColumn="0" w:noHBand="0" w:noVBand="1"/>
      </w:tblPr>
      <w:tblGrid>
        <w:gridCol w:w="3773"/>
        <w:gridCol w:w="1123"/>
        <w:gridCol w:w="1497"/>
        <w:gridCol w:w="1536"/>
        <w:gridCol w:w="1016"/>
        <w:gridCol w:w="960"/>
      </w:tblGrid>
      <w:tr w:rsidR="00F36D63" w:rsidRPr="00CE3919" w:rsidTr="008F58CF">
        <w:trPr>
          <w:trHeight w:val="615"/>
        </w:trPr>
        <w:tc>
          <w:tcPr>
            <w:tcW w:w="3773" w:type="dxa"/>
            <w:tcBorders>
              <w:top w:val="single" w:sz="4" w:space="0" w:color="auto"/>
              <w:left w:val="single" w:sz="4" w:space="0" w:color="auto"/>
              <w:bottom w:val="single" w:sz="4" w:space="0" w:color="auto"/>
              <w:right w:val="single" w:sz="4" w:space="0" w:color="auto"/>
            </w:tcBorders>
            <w:shd w:val="clear" w:color="000000" w:fill="1F497D"/>
            <w:vAlign w:val="bottom"/>
            <w:hideMark/>
          </w:tcPr>
          <w:p w:rsidR="00F36D63" w:rsidRPr="00CE3919" w:rsidRDefault="00F36D63" w:rsidP="008F58CF">
            <w:pPr>
              <w:rPr>
                <w:rFonts w:eastAsia="Times New Roman" w:cs="Arial"/>
                <w:b/>
                <w:bCs/>
                <w:color w:val="FFFFFF"/>
                <w:szCs w:val="24"/>
                <w:lang w:eastAsia="en-GB"/>
              </w:rPr>
            </w:pPr>
            <w:r w:rsidRPr="00CE3919">
              <w:rPr>
                <w:rFonts w:eastAsia="Times New Roman" w:cs="Arial"/>
                <w:b/>
                <w:bCs/>
                <w:color w:val="FFFFFF"/>
                <w:szCs w:val="24"/>
                <w:lang w:eastAsia="en-GB"/>
              </w:rPr>
              <w:t>Long Term Support at year end by Primary Support Reason</w:t>
            </w:r>
            <w:r w:rsidR="00487DFF">
              <w:rPr>
                <w:rFonts w:eastAsia="Times New Roman" w:cs="Arial"/>
                <w:b/>
                <w:bCs/>
                <w:color w:val="FFFFFF"/>
                <w:szCs w:val="24"/>
                <w:lang w:eastAsia="en-GB"/>
              </w:rPr>
              <w:t>*</w:t>
            </w:r>
            <w:r w:rsidRPr="00CE3919">
              <w:rPr>
                <w:rFonts w:eastAsia="Times New Roman" w:cs="Arial"/>
                <w:b/>
                <w:bCs/>
                <w:color w:val="FFFFFF"/>
                <w:szCs w:val="24"/>
                <w:lang w:eastAsia="en-GB"/>
              </w:rPr>
              <w:t xml:space="preserve"> for Age Band 18 to 64</w:t>
            </w:r>
          </w:p>
        </w:tc>
        <w:tc>
          <w:tcPr>
            <w:tcW w:w="1123" w:type="dxa"/>
            <w:tcBorders>
              <w:top w:val="single" w:sz="4" w:space="0" w:color="auto"/>
              <w:left w:val="nil"/>
              <w:bottom w:val="single" w:sz="4" w:space="0" w:color="auto"/>
              <w:right w:val="single" w:sz="4" w:space="0" w:color="auto"/>
            </w:tcBorders>
            <w:shd w:val="clear" w:color="000000" w:fill="1F497D"/>
            <w:noWrap/>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Nursing</w:t>
            </w:r>
          </w:p>
        </w:tc>
        <w:tc>
          <w:tcPr>
            <w:tcW w:w="1497" w:type="dxa"/>
            <w:tcBorders>
              <w:top w:val="single" w:sz="4" w:space="0" w:color="auto"/>
              <w:left w:val="nil"/>
              <w:bottom w:val="single" w:sz="4" w:space="0" w:color="auto"/>
              <w:right w:val="single" w:sz="4" w:space="0" w:color="auto"/>
            </w:tcBorders>
            <w:shd w:val="clear" w:color="000000" w:fill="1F497D"/>
            <w:noWrap/>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Residential</w:t>
            </w:r>
          </w:p>
        </w:tc>
        <w:tc>
          <w:tcPr>
            <w:tcW w:w="1536" w:type="dxa"/>
            <w:tcBorders>
              <w:top w:val="single" w:sz="4" w:space="0" w:color="auto"/>
              <w:left w:val="nil"/>
              <w:bottom w:val="single" w:sz="4" w:space="0" w:color="auto"/>
              <w:right w:val="single" w:sz="4" w:space="0" w:color="auto"/>
            </w:tcBorders>
            <w:shd w:val="clear" w:color="000000" w:fill="1F497D"/>
            <w:noWrap/>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Community</w:t>
            </w:r>
          </w:p>
        </w:tc>
        <w:tc>
          <w:tcPr>
            <w:tcW w:w="1016" w:type="dxa"/>
            <w:tcBorders>
              <w:top w:val="single" w:sz="4" w:space="0" w:color="auto"/>
              <w:left w:val="nil"/>
              <w:bottom w:val="single" w:sz="4" w:space="0" w:color="auto"/>
              <w:right w:val="single" w:sz="4" w:space="0" w:color="auto"/>
            </w:tcBorders>
            <w:shd w:val="clear" w:color="000000" w:fill="1F497D"/>
            <w:noWrap/>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TOTAL</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w:t>
            </w:r>
          </w:p>
        </w:tc>
      </w:tr>
      <w:tr w:rsidR="00F36D63" w:rsidRPr="00CE3919" w:rsidTr="008F58CF">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CE3919" w:rsidRDefault="00F36D63" w:rsidP="008F58CF">
            <w:pPr>
              <w:rPr>
                <w:rFonts w:eastAsia="Times New Roman" w:cs="Arial"/>
                <w:color w:val="000000"/>
                <w:szCs w:val="24"/>
                <w:lang w:eastAsia="en-GB"/>
              </w:rPr>
            </w:pPr>
            <w:r w:rsidRPr="00CE3919">
              <w:rPr>
                <w:rFonts w:eastAsia="Times New Roman" w:cs="Arial"/>
                <w:color w:val="000000"/>
                <w:szCs w:val="24"/>
                <w:lang w:eastAsia="en-GB"/>
              </w:rPr>
              <w:t>Learning Disability Support</w:t>
            </w:r>
          </w:p>
        </w:tc>
        <w:tc>
          <w:tcPr>
            <w:tcW w:w="1123" w:type="dxa"/>
            <w:tcBorders>
              <w:top w:val="nil"/>
              <w:left w:val="nil"/>
              <w:bottom w:val="single" w:sz="4" w:space="0" w:color="auto"/>
              <w:right w:val="single" w:sz="4" w:space="0" w:color="auto"/>
            </w:tcBorders>
            <w:shd w:val="clear" w:color="auto" w:fill="auto"/>
            <w:noWrap/>
            <w:vAlign w:val="bottom"/>
            <w:hideMark/>
          </w:tcPr>
          <w:p w:rsidR="00F36D63" w:rsidRPr="00CE3919" w:rsidRDefault="00CC181D" w:rsidP="008F58CF">
            <w:pPr>
              <w:jc w:val="right"/>
              <w:rPr>
                <w:rFonts w:eastAsia="Times New Roman" w:cs="Arial"/>
                <w:color w:val="000000"/>
                <w:szCs w:val="24"/>
                <w:lang w:eastAsia="en-GB"/>
              </w:rPr>
            </w:pPr>
            <w:r>
              <w:rPr>
                <w:rFonts w:eastAsia="Times New Roman" w:cs="Arial"/>
                <w:color w:val="000000"/>
                <w:szCs w:val="24"/>
                <w:lang w:eastAsia="en-GB"/>
              </w:rPr>
              <w:t>48</w:t>
            </w:r>
          </w:p>
        </w:tc>
        <w:tc>
          <w:tcPr>
            <w:tcW w:w="1497" w:type="dxa"/>
            <w:tcBorders>
              <w:top w:val="nil"/>
              <w:left w:val="nil"/>
              <w:bottom w:val="single" w:sz="4" w:space="0" w:color="auto"/>
              <w:right w:val="single" w:sz="4" w:space="0" w:color="auto"/>
            </w:tcBorders>
            <w:shd w:val="clear" w:color="auto" w:fill="auto"/>
            <w:noWrap/>
            <w:vAlign w:val="bottom"/>
            <w:hideMark/>
          </w:tcPr>
          <w:p w:rsidR="00F36D63" w:rsidRPr="00CE3919" w:rsidRDefault="00CC181D" w:rsidP="008F58CF">
            <w:pPr>
              <w:jc w:val="right"/>
              <w:rPr>
                <w:rFonts w:eastAsia="Times New Roman" w:cs="Arial"/>
                <w:color w:val="000000"/>
                <w:szCs w:val="24"/>
                <w:lang w:eastAsia="en-GB"/>
              </w:rPr>
            </w:pPr>
            <w:r>
              <w:rPr>
                <w:rFonts w:eastAsia="Times New Roman" w:cs="Arial"/>
                <w:color w:val="000000"/>
                <w:szCs w:val="24"/>
                <w:lang w:eastAsia="en-GB"/>
              </w:rPr>
              <w:t>144</w:t>
            </w:r>
          </w:p>
        </w:tc>
        <w:tc>
          <w:tcPr>
            <w:tcW w:w="1536" w:type="dxa"/>
            <w:tcBorders>
              <w:top w:val="nil"/>
              <w:left w:val="nil"/>
              <w:bottom w:val="single" w:sz="4" w:space="0" w:color="auto"/>
              <w:right w:val="single" w:sz="4" w:space="0" w:color="auto"/>
            </w:tcBorders>
            <w:shd w:val="clear" w:color="auto" w:fill="auto"/>
            <w:noWrap/>
            <w:vAlign w:val="bottom"/>
            <w:hideMark/>
          </w:tcPr>
          <w:p w:rsidR="00F36D63" w:rsidRPr="00CE3919" w:rsidRDefault="00CC181D" w:rsidP="008F58CF">
            <w:pPr>
              <w:jc w:val="right"/>
              <w:rPr>
                <w:rFonts w:eastAsia="Times New Roman" w:cs="Arial"/>
                <w:color w:val="000000"/>
                <w:szCs w:val="24"/>
                <w:lang w:eastAsia="en-GB"/>
              </w:rPr>
            </w:pPr>
            <w:r>
              <w:rPr>
                <w:rFonts w:eastAsia="Times New Roman" w:cs="Arial"/>
                <w:color w:val="000000"/>
                <w:szCs w:val="24"/>
                <w:lang w:eastAsia="en-GB"/>
              </w:rPr>
              <w:t>1,249</w:t>
            </w:r>
          </w:p>
        </w:tc>
        <w:tc>
          <w:tcPr>
            <w:tcW w:w="1016" w:type="dxa"/>
            <w:tcBorders>
              <w:top w:val="nil"/>
              <w:left w:val="nil"/>
              <w:bottom w:val="single" w:sz="4" w:space="0" w:color="auto"/>
              <w:right w:val="single" w:sz="4" w:space="0" w:color="auto"/>
            </w:tcBorders>
            <w:shd w:val="clear" w:color="auto" w:fill="auto"/>
            <w:noWrap/>
            <w:vAlign w:val="bottom"/>
            <w:hideMark/>
          </w:tcPr>
          <w:p w:rsidR="00F36D63" w:rsidRPr="00CE3919" w:rsidRDefault="00CC181D" w:rsidP="008F58CF">
            <w:pPr>
              <w:jc w:val="right"/>
              <w:rPr>
                <w:rFonts w:eastAsia="Times New Roman" w:cs="Arial"/>
                <w:b/>
                <w:bCs/>
                <w:color w:val="000000"/>
                <w:szCs w:val="24"/>
                <w:lang w:eastAsia="en-GB"/>
              </w:rPr>
            </w:pPr>
            <w:r>
              <w:rPr>
                <w:rFonts w:eastAsia="Times New Roman" w:cs="Arial"/>
                <w:b/>
                <w:bCs/>
                <w:color w:val="000000"/>
                <w:szCs w:val="24"/>
                <w:lang w:eastAsia="en-GB"/>
              </w:rPr>
              <w:t>1,441</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b/>
                <w:bCs/>
                <w:color w:val="000000"/>
                <w:szCs w:val="24"/>
                <w:lang w:eastAsia="en-GB"/>
              </w:rPr>
            </w:pPr>
            <w:r>
              <w:rPr>
                <w:rFonts w:eastAsia="Times New Roman" w:cs="Arial"/>
                <w:b/>
                <w:bCs/>
                <w:color w:val="000000"/>
                <w:szCs w:val="24"/>
                <w:lang w:eastAsia="en-GB"/>
              </w:rPr>
              <w:t>61</w:t>
            </w:r>
            <w:r w:rsidR="00F36D63" w:rsidRPr="00CE3919">
              <w:rPr>
                <w:rFonts w:eastAsia="Times New Roman" w:cs="Arial"/>
                <w:b/>
                <w:bCs/>
                <w:color w:val="000000"/>
                <w:szCs w:val="24"/>
                <w:lang w:eastAsia="en-GB"/>
              </w:rPr>
              <w:t>%</w:t>
            </w:r>
          </w:p>
        </w:tc>
      </w:tr>
      <w:tr w:rsidR="00F36D63" w:rsidRPr="00CE3919" w:rsidTr="008F58CF">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CE3919" w:rsidRDefault="00F36D63" w:rsidP="008F58CF">
            <w:pPr>
              <w:rPr>
                <w:rFonts w:eastAsia="Times New Roman" w:cs="Arial"/>
                <w:color w:val="000000"/>
                <w:szCs w:val="24"/>
                <w:lang w:eastAsia="en-GB"/>
              </w:rPr>
            </w:pPr>
            <w:r w:rsidRPr="00CE3919">
              <w:rPr>
                <w:rFonts w:eastAsia="Times New Roman" w:cs="Arial"/>
                <w:color w:val="000000"/>
                <w:szCs w:val="24"/>
                <w:lang w:eastAsia="en-GB"/>
              </w:rPr>
              <w:t>Mental Health Support</w:t>
            </w:r>
          </w:p>
        </w:tc>
        <w:tc>
          <w:tcPr>
            <w:tcW w:w="1123" w:type="dxa"/>
            <w:tcBorders>
              <w:top w:val="nil"/>
              <w:left w:val="nil"/>
              <w:bottom w:val="single" w:sz="4" w:space="0" w:color="auto"/>
              <w:right w:val="single" w:sz="4" w:space="0" w:color="auto"/>
            </w:tcBorders>
            <w:shd w:val="clear" w:color="auto" w:fill="auto"/>
            <w:noWrap/>
            <w:vAlign w:val="bottom"/>
            <w:hideMark/>
          </w:tcPr>
          <w:p w:rsidR="00F36D63" w:rsidRPr="00CE3919" w:rsidRDefault="00CC181D" w:rsidP="008F58CF">
            <w:pPr>
              <w:jc w:val="right"/>
              <w:rPr>
                <w:rFonts w:eastAsia="Times New Roman" w:cs="Arial"/>
                <w:color w:val="000000"/>
                <w:szCs w:val="24"/>
                <w:lang w:eastAsia="en-GB"/>
              </w:rPr>
            </w:pPr>
            <w:r>
              <w:rPr>
                <w:rFonts w:eastAsia="Times New Roman" w:cs="Arial"/>
                <w:color w:val="000000"/>
                <w:szCs w:val="24"/>
                <w:lang w:eastAsia="en-GB"/>
              </w:rPr>
              <w:t>2</w:t>
            </w:r>
          </w:p>
        </w:tc>
        <w:tc>
          <w:tcPr>
            <w:tcW w:w="1497" w:type="dxa"/>
            <w:tcBorders>
              <w:top w:val="nil"/>
              <w:left w:val="nil"/>
              <w:bottom w:val="single" w:sz="4" w:space="0" w:color="auto"/>
              <w:right w:val="single" w:sz="4" w:space="0" w:color="auto"/>
            </w:tcBorders>
            <w:shd w:val="clear" w:color="auto" w:fill="auto"/>
            <w:noWrap/>
            <w:vAlign w:val="bottom"/>
            <w:hideMark/>
          </w:tcPr>
          <w:p w:rsidR="00F36D63" w:rsidRPr="00CE3919" w:rsidRDefault="00CC181D" w:rsidP="008F58CF">
            <w:pPr>
              <w:jc w:val="right"/>
              <w:rPr>
                <w:rFonts w:eastAsia="Times New Roman" w:cs="Arial"/>
                <w:color w:val="000000"/>
                <w:szCs w:val="24"/>
                <w:lang w:eastAsia="en-GB"/>
              </w:rPr>
            </w:pPr>
            <w:r>
              <w:rPr>
                <w:rFonts w:eastAsia="Times New Roman" w:cs="Arial"/>
                <w:color w:val="000000"/>
                <w:szCs w:val="24"/>
                <w:lang w:eastAsia="en-GB"/>
              </w:rPr>
              <w:t>12</w:t>
            </w:r>
          </w:p>
        </w:tc>
        <w:tc>
          <w:tcPr>
            <w:tcW w:w="1536" w:type="dxa"/>
            <w:tcBorders>
              <w:top w:val="nil"/>
              <w:left w:val="nil"/>
              <w:bottom w:val="single" w:sz="4" w:space="0" w:color="auto"/>
              <w:right w:val="single" w:sz="4" w:space="0" w:color="auto"/>
            </w:tcBorders>
            <w:shd w:val="clear" w:color="auto" w:fill="auto"/>
            <w:noWrap/>
            <w:vAlign w:val="bottom"/>
            <w:hideMark/>
          </w:tcPr>
          <w:p w:rsidR="00F36D63" w:rsidRPr="00CE3919" w:rsidRDefault="00CC181D" w:rsidP="008F58CF">
            <w:pPr>
              <w:jc w:val="right"/>
              <w:rPr>
                <w:rFonts w:eastAsia="Times New Roman" w:cs="Arial"/>
                <w:color w:val="000000"/>
                <w:szCs w:val="24"/>
                <w:lang w:eastAsia="en-GB"/>
              </w:rPr>
            </w:pPr>
            <w:r>
              <w:rPr>
                <w:rFonts w:eastAsia="Times New Roman" w:cs="Arial"/>
                <w:color w:val="000000"/>
                <w:szCs w:val="24"/>
                <w:lang w:eastAsia="en-GB"/>
              </w:rPr>
              <w:t>192</w:t>
            </w:r>
          </w:p>
        </w:tc>
        <w:tc>
          <w:tcPr>
            <w:tcW w:w="1016" w:type="dxa"/>
            <w:tcBorders>
              <w:top w:val="nil"/>
              <w:left w:val="nil"/>
              <w:bottom w:val="single" w:sz="4" w:space="0" w:color="auto"/>
              <w:right w:val="single" w:sz="4" w:space="0" w:color="auto"/>
            </w:tcBorders>
            <w:shd w:val="clear" w:color="auto" w:fill="auto"/>
            <w:noWrap/>
            <w:vAlign w:val="bottom"/>
            <w:hideMark/>
          </w:tcPr>
          <w:p w:rsidR="00F36D63" w:rsidRPr="00CE3919" w:rsidRDefault="00CC181D" w:rsidP="008F58CF">
            <w:pPr>
              <w:jc w:val="right"/>
              <w:rPr>
                <w:rFonts w:eastAsia="Times New Roman" w:cs="Arial"/>
                <w:b/>
                <w:bCs/>
                <w:color w:val="000000"/>
                <w:szCs w:val="24"/>
                <w:lang w:eastAsia="en-GB"/>
              </w:rPr>
            </w:pPr>
            <w:r>
              <w:rPr>
                <w:rFonts w:eastAsia="Times New Roman" w:cs="Arial"/>
                <w:b/>
                <w:bCs/>
                <w:color w:val="000000"/>
                <w:szCs w:val="24"/>
                <w:lang w:eastAsia="en-GB"/>
              </w:rPr>
              <w:t>206</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b/>
                <w:bCs/>
                <w:color w:val="000000"/>
                <w:szCs w:val="24"/>
                <w:lang w:eastAsia="en-GB"/>
              </w:rPr>
            </w:pPr>
            <w:r>
              <w:rPr>
                <w:rFonts w:eastAsia="Times New Roman" w:cs="Arial"/>
                <w:b/>
                <w:bCs/>
                <w:color w:val="000000"/>
                <w:szCs w:val="24"/>
                <w:lang w:eastAsia="en-GB"/>
              </w:rPr>
              <w:t>9</w:t>
            </w:r>
            <w:r w:rsidR="00F36D63" w:rsidRPr="00CE3919">
              <w:rPr>
                <w:rFonts w:eastAsia="Times New Roman" w:cs="Arial"/>
                <w:b/>
                <w:bCs/>
                <w:color w:val="000000"/>
                <w:szCs w:val="24"/>
                <w:lang w:eastAsia="en-GB"/>
              </w:rPr>
              <w:t>%</w:t>
            </w:r>
          </w:p>
        </w:tc>
      </w:tr>
      <w:tr w:rsidR="00F36D63" w:rsidRPr="00CE3919" w:rsidTr="008F58CF">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CE3919" w:rsidRDefault="00F36D63" w:rsidP="008F58CF">
            <w:pPr>
              <w:rPr>
                <w:rFonts w:eastAsia="Times New Roman" w:cs="Arial"/>
                <w:color w:val="000000"/>
                <w:szCs w:val="24"/>
                <w:lang w:eastAsia="en-GB"/>
              </w:rPr>
            </w:pPr>
            <w:r w:rsidRPr="00CE3919">
              <w:rPr>
                <w:rFonts w:eastAsia="Times New Roman" w:cs="Arial"/>
                <w:color w:val="000000"/>
                <w:szCs w:val="24"/>
                <w:lang w:eastAsia="en-GB"/>
              </w:rPr>
              <w:t>Physical Support</w:t>
            </w:r>
          </w:p>
        </w:tc>
        <w:tc>
          <w:tcPr>
            <w:tcW w:w="1123"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color w:val="000000"/>
                <w:szCs w:val="24"/>
                <w:lang w:eastAsia="en-GB"/>
              </w:rPr>
            </w:pPr>
            <w:r>
              <w:rPr>
                <w:rFonts w:eastAsia="Times New Roman" w:cs="Arial"/>
                <w:color w:val="000000"/>
                <w:szCs w:val="24"/>
                <w:lang w:eastAsia="en-GB"/>
              </w:rPr>
              <w:t>40</w:t>
            </w:r>
          </w:p>
        </w:tc>
        <w:tc>
          <w:tcPr>
            <w:tcW w:w="1497"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color w:val="000000"/>
                <w:szCs w:val="24"/>
                <w:lang w:eastAsia="en-GB"/>
              </w:rPr>
            </w:pPr>
            <w:r>
              <w:rPr>
                <w:rFonts w:eastAsia="Times New Roman" w:cs="Arial"/>
                <w:color w:val="000000"/>
                <w:szCs w:val="24"/>
                <w:lang w:eastAsia="en-GB"/>
              </w:rPr>
              <w:t>64</w:t>
            </w:r>
          </w:p>
        </w:tc>
        <w:tc>
          <w:tcPr>
            <w:tcW w:w="1536"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color w:val="000000"/>
                <w:szCs w:val="24"/>
                <w:lang w:eastAsia="en-GB"/>
              </w:rPr>
            </w:pPr>
            <w:r>
              <w:rPr>
                <w:rFonts w:eastAsia="Times New Roman" w:cs="Arial"/>
                <w:color w:val="000000"/>
                <w:szCs w:val="24"/>
                <w:lang w:eastAsia="en-GB"/>
              </w:rPr>
              <w:t>431</w:t>
            </w:r>
          </w:p>
        </w:tc>
        <w:tc>
          <w:tcPr>
            <w:tcW w:w="1016"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b/>
                <w:bCs/>
                <w:color w:val="000000"/>
                <w:szCs w:val="24"/>
                <w:lang w:eastAsia="en-GB"/>
              </w:rPr>
            </w:pPr>
            <w:r>
              <w:rPr>
                <w:rFonts w:eastAsia="Times New Roman" w:cs="Arial"/>
                <w:b/>
                <w:bCs/>
                <w:color w:val="000000"/>
                <w:szCs w:val="24"/>
                <w:lang w:eastAsia="en-GB"/>
              </w:rPr>
              <w:t>535</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b/>
                <w:bCs/>
                <w:color w:val="000000"/>
                <w:szCs w:val="24"/>
                <w:lang w:eastAsia="en-GB"/>
              </w:rPr>
            </w:pPr>
            <w:r>
              <w:rPr>
                <w:rFonts w:eastAsia="Times New Roman" w:cs="Arial"/>
                <w:b/>
                <w:bCs/>
                <w:color w:val="000000"/>
                <w:szCs w:val="24"/>
                <w:lang w:eastAsia="en-GB"/>
              </w:rPr>
              <w:t>23</w:t>
            </w:r>
            <w:r w:rsidR="00F36D63" w:rsidRPr="00CE3919">
              <w:rPr>
                <w:rFonts w:eastAsia="Times New Roman" w:cs="Arial"/>
                <w:b/>
                <w:bCs/>
                <w:color w:val="000000"/>
                <w:szCs w:val="24"/>
                <w:lang w:eastAsia="en-GB"/>
              </w:rPr>
              <w:t>%</w:t>
            </w:r>
          </w:p>
        </w:tc>
      </w:tr>
      <w:tr w:rsidR="00F36D63" w:rsidRPr="00CE3919" w:rsidTr="008F58CF">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CE3919" w:rsidRDefault="00F36D63" w:rsidP="008F58CF">
            <w:pPr>
              <w:rPr>
                <w:rFonts w:eastAsia="Times New Roman" w:cs="Arial"/>
                <w:color w:val="000000"/>
                <w:szCs w:val="24"/>
                <w:lang w:eastAsia="en-GB"/>
              </w:rPr>
            </w:pPr>
            <w:r w:rsidRPr="00CE3919">
              <w:rPr>
                <w:rFonts w:eastAsia="Times New Roman" w:cs="Arial"/>
                <w:color w:val="000000"/>
                <w:szCs w:val="24"/>
                <w:lang w:eastAsia="en-GB"/>
              </w:rPr>
              <w:t>Sensory Support</w:t>
            </w:r>
          </w:p>
        </w:tc>
        <w:tc>
          <w:tcPr>
            <w:tcW w:w="1123" w:type="dxa"/>
            <w:tcBorders>
              <w:top w:val="nil"/>
              <w:left w:val="nil"/>
              <w:bottom w:val="single" w:sz="4" w:space="0" w:color="auto"/>
              <w:right w:val="single" w:sz="4" w:space="0" w:color="auto"/>
            </w:tcBorders>
            <w:shd w:val="clear" w:color="auto" w:fill="auto"/>
            <w:noWrap/>
            <w:vAlign w:val="bottom"/>
            <w:hideMark/>
          </w:tcPr>
          <w:p w:rsidR="00F36D63" w:rsidRPr="00CE3919" w:rsidRDefault="00F36D63" w:rsidP="008F58CF">
            <w:pPr>
              <w:jc w:val="right"/>
              <w:rPr>
                <w:rFonts w:eastAsia="Times New Roman" w:cs="Arial"/>
                <w:color w:val="000000"/>
                <w:szCs w:val="24"/>
                <w:lang w:eastAsia="en-GB"/>
              </w:rPr>
            </w:pPr>
            <w:r w:rsidRPr="00CE3919">
              <w:rPr>
                <w:rFonts w:eastAsia="Times New Roman" w:cs="Arial"/>
                <w:color w:val="000000"/>
                <w:szCs w:val="24"/>
                <w:lang w:eastAsia="en-GB"/>
              </w:rPr>
              <w:t>1</w:t>
            </w:r>
          </w:p>
        </w:tc>
        <w:tc>
          <w:tcPr>
            <w:tcW w:w="1497"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color w:val="000000"/>
                <w:szCs w:val="24"/>
                <w:lang w:eastAsia="en-GB"/>
              </w:rPr>
            </w:pPr>
            <w:r>
              <w:rPr>
                <w:rFonts w:eastAsia="Times New Roman" w:cs="Arial"/>
                <w:color w:val="000000"/>
                <w:szCs w:val="24"/>
                <w:lang w:eastAsia="en-GB"/>
              </w:rPr>
              <w:t>3</w:t>
            </w:r>
          </w:p>
        </w:tc>
        <w:tc>
          <w:tcPr>
            <w:tcW w:w="1536"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color w:val="000000"/>
                <w:szCs w:val="24"/>
                <w:lang w:eastAsia="en-GB"/>
              </w:rPr>
            </w:pPr>
            <w:r>
              <w:rPr>
                <w:rFonts w:eastAsia="Times New Roman" w:cs="Arial"/>
                <w:color w:val="000000"/>
                <w:szCs w:val="24"/>
                <w:lang w:eastAsia="en-GB"/>
              </w:rPr>
              <w:t>34</w:t>
            </w:r>
          </w:p>
        </w:tc>
        <w:tc>
          <w:tcPr>
            <w:tcW w:w="1016"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b/>
                <w:bCs/>
                <w:color w:val="000000"/>
                <w:szCs w:val="24"/>
                <w:lang w:eastAsia="en-GB"/>
              </w:rPr>
            </w:pPr>
            <w:r>
              <w:rPr>
                <w:rFonts w:eastAsia="Times New Roman" w:cs="Arial"/>
                <w:b/>
                <w:bCs/>
                <w:color w:val="000000"/>
                <w:szCs w:val="24"/>
                <w:lang w:eastAsia="en-GB"/>
              </w:rPr>
              <w:t>38</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b/>
                <w:bCs/>
                <w:color w:val="000000"/>
                <w:szCs w:val="24"/>
                <w:lang w:eastAsia="en-GB"/>
              </w:rPr>
            </w:pPr>
            <w:r>
              <w:rPr>
                <w:rFonts w:eastAsia="Times New Roman" w:cs="Arial"/>
                <w:b/>
                <w:bCs/>
                <w:color w:val="000000"/>
                <w:szCs w:val="24"/>
                <w:lang w:eastAsia="en-GB"/>
              </w:rPr>
              <w:t>0.2</w:t>
            </w:r>
            <w:r w:rsidR="00F36D63" w:rsidRPr="00CE3919">
              <w:rPr>
                <w:rFonts w:eastAsia="Times New Roman" w:cs="Arial"/>
                <w:b/>
                <w:bCs/>
                <w:color w:val="000000"/>
                <w:szCs w:val="24"/>
                <w:lang w:eastAsia="en-GB"/>
              </w:rPr>
              <w:t>%</w:t>
            </w:r>
          </w:p>
        </w:tc>
      </w:tr>
      <w:tr w:rsidR="00F36D63" w:rsidRPr="00CE3919" w:rsidTr="008F58CF">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CE3919" w:rsidRDefault="00F36D63" w:rsidP="008F58CF">
            <w:pPr>
              <w:rPr>
                <w:rFonts w:eastAsia="Times New Roman" w:cs="Arial"/>
                <w:color w:val="000000"/>
                <w:szCs w:val="24"/>
                <w:lang w:eastAsia="en-GB"/>
              </w:rPr>
            </w:pPr>
            <w:r w:rsidRPr="00CE3919">
              <w:rPr>
                <w:rFonts w:eastAsia="Times New Roman" w:cs="Arial"/>
                <w:color w:val="000000"/>
                <w:szCs w:val="24"/>
                <w:lang w:eastAsia="en-GB"/>
              </w:rPr>
              <w:t>Social Support</w:t>
            </w:r>
          </w:p>
        </w:tc>
        <w:tc>
          <w:tcPr>
            <w:tcW w:w="1123" w:type="dxa"/>
            <w:tcBorders>
              <w:top w:val="nil"/>
              <w:left w:val="nil"/>
              <w:bottom w:val="single" w:sz="4" w:space="0" w:color="auto"/>
              <w:right w:val="single" w:sz="4" w:space="0" w:color="auto"/>
            </w:tcBorders>
            <w:shd w:val="clear" w:color="auto" w:fill="auto"/>
            <w:noWrap/>
            <w:vAlign w:val="bottom"/>
            <w:hideMark/>
          </w:tcPr>
          <w:p w:rsidR="00F36D63" w:rsidRPr="00CE3919" w:rsidRDefault="00F36D63" w:rsidP="008F58CF">
            <w:pPr>
              <w:jc w:val="right"/>
              <w:rPr>
                <w:rFonts w:eastAsia="Times New Roman" w:cs="Arial"/>
                <w:color w:val="000000"/>
                <w:szCs w:val="24"/>
                <w:lang w:eastAsia="en-GB"/>
              </w:rPr>
            </w:pPr>
            <w:r w:rsidRPr="00CE3919">
              <w:rPr>
                <w:rFonts w:eastAsia="Times New Roman" w:cs="Arial"/>
                <w:color w:val="000000"/>
                <w:szCs w:val="24"/>
                <w:lang w:eastAsia="en-GB"/>
              </w:rPr>
              <w:t>0</w:t>
            </w:r>
          </w:p>
        </w:tc>
        <w:tc>
          <w:tcPr>
            <w:tcW w:w="1497"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color w:val="000000"/>
                <w:szCs w:val="24"/>
                <w:lang w:eastAsia="en-GB"/>
              </w:rPr>
            </w:pPr>
            <w:r>
              <w:rPr>
                <w:rFonts w:eastAsia="Times New Roman" w:cs="Arial"/>
                <w:color w:val="000000"/>
                <w:szCs w:val="24"/>
                <w:lang w:eastAsia="en-GB"/>
              </w:rPr>
              <w:t>11</w:t>
            </w:r>
          </w:p>
        </w:tc>
        <w:tc>
          <w:tcPr>
            <w:tcW w:w="1536" w:type="dxa"/>
            <w:tcBorders>
              <w:top w:val="nil"/>
              <w:left w:val="nil"/>
              <w:bottom w:val="single" w:sz="4" w:space="0" w:color="auto"/>
              <w:right w:val="single" w:sz="4" w:space="0" w:color="auto"/>
            </w:tcBorders>
            <w:shd w:val="clear" w:color="auto" w:fill="auto"/>
            <w:noWrap/>
            <w:vAlign w:val="bottom"/>
            <w:hideMark/>
          </w:tcPr>
          <w:p w:rsidR="00F36D63" w:rsidRPr="00CE3919" w:rsidRDefault="00F36D63" w:rsidP="008F58CF">
            <w:pPr>
              <w:jc w:val="right"/>
              <w:rPr>
                <w:rFonts w:eastAsia="Times New Roman" w:cs="Arial"/>
                <w:color w:val="000000"/>
                <w:szCs w:val="24"/>
                <w:lang w:eastAsia="en-GB"/>
              </w:rPr>
            </w:pPr>
            <w:r w:rsidRPr="00CE3919">
              <w:rPr>
                <w:rFonts w:eastAsia="Times New Roman" w:cs="Arial"/>
                <w:color w:val="000000"/>
                <w:szCs w:val="24"/>
                <w:lang w:eastAsia="en-GB"/>
              </w:rPr>
              <w:t>0</w:t>
            </w:r>
          </w:p>
        </w:tc>
        <w:tc>
          <w:tcPr>
            <w:tcW w:w="1016" w:type="dxa"/>
            <w:tcBorders>
              <w:top w:val="nil"/>
              <w:left w:val="nil"/>
              <w:bottom w:val="single" w:sz="4" w:space="0" w:color="auto"/>
              <w:right w:val="single" w:sz="4" w:space="0" w:color="auto"/>
            </w:tcBorders>
            <w:shd w:val="clear" w:color="auto" w:fill="auto"/>
            <w:noWrap/>
            <w:vAlign w:val="bottom"/>
            <w:hideMark/>
          </w:tcPr>
          <w:p w:rsidR="00F36D63" w:rsidRPr="00CE3919" w:rsidRDefault="00F36D63"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F36D63" w:rsidP="00664804">
            <w:pPr>
              <w:jc w:val="center"/>
              <w:rPr>
                <w:rFonts w:eastAsia="Times New Roman" w:cs="Arial"/>
                <w:b/>
                <w:bCs/>
                <w:color w:val="000000"/>
                <w:szCs w:val="24"/>
                <w:lang w:eastAsia="en-GB"/>
              </w:rPr>
            </w:pPr>
          </w:p>
        </w:tc>
      </w:tr>
      <w:tr w:rsidR="00F36D63" w:rsidRPr="00CE3919" w:rsidTr="008F58CF">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CE3919" w:rsidRDefault="00F36D63" w:rsidP="008F58CF">
            <w:pPr>
              <w:rPr>
                <w:rFonts w:eastAsia="Times New Roman" w:cs="Arial"/>
                <w:color w:val="000000"/>
                <w:szCs w:val="24"/>
                <w:lang w:eastAsia="en-GB"/>
              </w:rPr>
            </w:pPr>
            <w:r w:rsidRPr="00CE3919">
              <w:rPr>
                <w:rFonts w:eastAsia="Times New Roman" w:cs="Arial"/>
                <w:color w:val="000000"/>
                <w:szCs w:val="24"/>
                <w:lang w:eastAsia="en-GB"/>
              </w:rPr>
              <w:t>Support with Memory and Cognition</w:t>
            </w:r>
          </w:p>
        </w:tc>
        <w:tc>
          <w:tcPr>
            <w:tcW w:w="1123"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color w:val="000000"/>
                <w:szCs w:val="24"/>
                <w:lang w:eastAsia="en-GB"/>
              </w:rPr>
            </w:pPr>
            <w:r>
              <w:rPr>
                <w:rFonts w:eastAsia="Times New Roman" w:cs="Arial"/>
                <w:color w:val="000000"/>
                <w:szCs w:val="24"/>
                <w:lang w:eastAsia="en-GB"/>
              </w:rPr>
              <w:t>29</w:t>
            </w:r>
          </w:p>
        </w:tc>
        <w:tc>
          <w:tcPr>
            <w:tcW w:w="1497"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color w:val="000000"/>
                <w:szCs w:val="24"/>
                <w:lang w:eastAsia="en-GB"/>
              </w:rPr>
            </w:pPr>
            <w:r>
              <w:rPr>
                <w:rFonts w:eastAsia="Times New Roman" w:cs="Arial"/>
                <w:color w:val="000000"/>
                <w:szCs w:val="24"/>
                <w:lang w:eastAsia="en-GB"/>
              </w:rPr>
              <w:t>76</w:t>
            </w:r>
          </w:p>
        </w:tc>
        <w:tc>
          <w:tcPr>
            <w:tcW w:w="1536"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color w:val="000000"/>
                <w:szCs w:val="24"/>
                <w:lang w:eastAsia="en-GB"/>
              </w:rPr>
            </w:pPr>
            <w:r>
              <w:rPr>
                <w:rFonts w:eastAsia="Times New Roman" w:cs="Arial"/>
                <w:color w:val="000000"/>
                <w:szCs w:val="24"/>
                <w:lang w:eastAsia="en-GB"/>
              </w:rPr>
              <w:t>28</w:t>
            </w:r>
          </w:p>
        </w:tc>
        <w:tc>
          <w:tcPr>
            <w:tcW w:w="1016"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b/>
                <w:bCs/>
                <w:color w:val="000000"/>
                <w:szCs w:val="24"/>
                <w:lang w:eastAsia="en-GB"/>
              </w:rPr>
            </w:pPr>
            <w:r>
              <w:rPr>
                <w:rFonts w:eastAsia="Times New Roman" w:cs="Arial"/>
                <w:b/>
                <w:bCs/>
                <w:color w:val="000000"/>
                <w:szCs w:val="24"/>
                <w:lang w:eastAsia="en-GB"/>
              </w:rPr>
              <w:t>133</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b/>
                <w:bCs/>
                <w:color w:val="000000"/>
                <w:szCs w:val="24"/>
                <w:lang w:eastAsia="en-GB"/>
              </w:rPr>
            </w:pPr>
            <w:r>
              <w:rPr>
                <w:rFonts w:eastAsia="Times New Roman" w:cs="Arial"/>
                <w:b/>
                <w:bCs/>
                <w:color w:val="000000"/>
                <w:szCs w:val="24"/>
                <w:lang w:eastAsia="en-GB"/>
              </w:rPr>
              <w:t>6</w:t>
            </w:r>
            <w:r w:rsidR="00F36D63" w:rsidRPr="00CE3919">
              <w:rPr>
                <w:rFonts w:eastAsia="Times New Roman" w:cs="Arial"/>
                <w:b/>
                <w:bCs/>
                <w:color w:val="000000"/>
                <w:szCs w:val="24"/>
                <w:lang w:eastAsia="en-GB"/>
              </w:rPr>
              <w:t>%</w:t>
            </w:r>
          </w:p>
        </w:tc>
      </w:tr>
      <w:tr w:rsidR="00F36D63" w:rsidRPr="00CE3919" w:rsidTr="008F58CF">
        <w:trPr>
          <w:trHeight w:val="345"/>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417591" w:rsidRDefault="00417591" w:rsidP="008F58CF">
            <w:pPr>
              <w:rPr>
                <w:rFonts w:eastAsia="Times New Roman" w:cs="Arial"/>
                <w:b/>
                <w:color w:val="000000"/>
                <w:szCs w:val="24"/>
                <w:lang w:eastAsia="en-GB"/>
              </w:rPr>
            </w:pPr>
            <w:r w:rsidRPr="00417591">
              <w:rPr>
                <w:rFonts w:eastAsia="Times New Roman" w:cs="Arial"/>
                <w:b/>
                <w:color w:val="000000"/>
                <w:szCs w:val="24"/>
                <w:lang w:eastAsia="en-GB"/>
              </w:rPr>
              <w:t>TOTAL</w:t>
            </w:r>
          </w:p>
        </w:tc>
        <w:tc>
          <w:tcPr>
            <w:tcW w:w="1123" w:type="dxa"/>
            <w:tcBorders>
              <w:top w:val="nil"/>
              <w:left w:val="nil"/>
              <w:bottom w:val="single" w:sz="4" w:space="0" w:color="auto"/>
              <w:right w:val="single" w:sz="4" w:space="0" w:color="auto"/>
            </w:tcBorders>
            <w:shd w:val="clear" w:color="auto" w:fill="auto"/>
            <w:noWrap/>
            <w:vAlign w:val="bottom"/>
            <w:hideMark/>
          </w:tcPr>
          <w:p w:rsidR="00F36D63" w:rsidRPr="008241A6" w:rsidRDefault="00F36D63" w:rsidP="00664804">
            <w:pPr>
              <w:jc w:val="right"/>
              <w:rPr>
                <w:rFonts w:eastAsia="Times New Roman" w:cs="Arial"/>
                <w:b/>
                <w:color w:val="000000"/>
                <w:szCs w:val="24"/>
                <w:lang w:eastAsia="en-GB"/>
              </w:rPr>
            </w:pPr>
            <w:r w:rsidRPr="008241A6">
              <w:rPr>
                <w:rFonts w:eastAsia="Times New Roman" w:cs="Arial"/>
                <w:b/>
                <w:color w:val="000000"/>
                <w:szCs w:val="24"/>
                <w:lang w:eastAsia="en-GB"/>
              </w:rPr>
              <w:t> </w:t>
            </w:r>
            <w:r w:rsidR="00664804" w:rsidRPr="008241A6">
              <w:rPr>
                <w:rFonts w:eastAsia="Times New Roman" w:cs="Arial"/>
                <w:b/>
                <w:color w:val="000000"/>
                <w:szCs w:val="24"/>
                <w:lang w:eastAsia="en-GB"/>
              </w:rPr>
              <w:t>120</w:t>
            </w:r>
          </w:p>
        </w:tc>
        <w:tc>
          <w:tcPr>
            <w:tcW w:w="1497" w:type="dxa"/>
            <w:tcBorders>
              <w:top w:val="nil"/>
              <w:left w:val="nil"/>
              <w:bottom w:val="single" w:sz="4" w:space="0" w:color="auto"/>
              <w:right w:val="single" w:sz="4" w:space="0" w:color="auto"/>
            </w:tcBorders>
            <w:shd w:val="clear" w:color="auto" w:fill="auto"/>
            <w:noWrap/>
            <w:vAlign w:val="bottom"/>
            <w:hideMark/>
          </w:tcPr>
          <w:p w:rsidR="00F36D63" w:rsidRPr="008241A6" w:rsidRDefault="00F36D63" w:rsidP="00664804">
            <w:pPr>
              <w:jc w:val="right"/>
              <w:rPr>
                <w:rFonts w:eastAsia="Times New Roman" w:cs="Arial"/>
                <w:b/>
                <w:color w:val="000000"/>
                <w:szCs w:val="24"/>
                <w:lang w:eastAsia="en-GB"/>
              </w:rPr>
            </w:pPr>
            <w:r w:rsidRPr="008241A6">
              <w:rPr>
                <w:rFonts w:eastAsia="Times New Roman" w:cs="Arial"/>
                <w:b/>
                <w:color w:val="000000"/>
                <w:szCs w:val="24"/>
                <w:lang w:eastAsia="en-GB"/>
              </w:rPr>
              <w:t> </w:t>
            </w:r>
            <w:r w:rsidR="00664804" w:rsidRPr="008241A6">
              <w:rPr>
                <w:rFonts w:eastAsia="Times New Roman" w:cs="Arial"/>
                <w:b/>
                <w:color w:val="000000"/>
                <w:szCs w:val="24"/>
                <w:lang w:eastAsia="en-GB"/>
              </w:rPr>
              <w:t>310</w:t>
            </w:r>
          </w:p>
        </w:tc>
        <w:tc>
          <w:tcPr>
            <w:tcW w:w="1536" w:type="dxa"/>
            <w:tcBorders>
              <w:top w:val="nil"/>
              <w:left w:val="nil"/>
              <w:bottom w:val="single" w:sz="4" w:space="0" w:color="auto"/>
              <w:right w:val="single" w:sz="4" w:space="0" w:color="auto"/>
            </w:tcBorders>
            <w:shd w:val="clear" w:color="auto" w:fill="auto"/>
            <w:noWrap/>
            <w:vAlign w:val="bottom"/>
            <w:hideMark/>
          </w:tcPr>
          <w:p w:rsidR="00F36D63" w:rsidRPr="008241A6" w:rsidRDefault="00664804" w:rsidP="00664804">
            <w:pPr>
              <w:jc w:val="right"/>
              <w:rPr>
                <w:rFonts w:eastAsia="Times New Roman" w:cs="Arial"/>
                <w:b/>
                <w:color w:val="000000"/>
                <w:szCs w:val="24"/>
                <w:lang w:eastAsia="en-GB"/>
              </w:rPr>
            </w:pPr>
            <w:r w:rsidRPr="008241A6">
              <w:rPr>
                <w:rFonts w:eastAsia="Times New Roman" w:cs="Arial"/>
                <w:b/>
                <w:color w:val="000000"/>
                <w:szCs w:val="24"/>
                <w:lang w:eastAsia="en-GB"/>
              </w:rPr>
              <w:t>1,934</w:t>
            </w:r>
            <w:r w:rsidR="00F36D63" w:rsidRPr="008241A6">
              <w:rPr>
                <w:rFonts w:eastAsia="Times New Roman" w:cs="Arial"/>
                <w:b/>
                <w:color w:val="000000"/>
                <w:szCs w:val="24"/>
                <w:lang w:eastAsia="en-GB"/>
              </w:rPr>
              <w:t> </w:t>
            </w:r>
          </w:p>
        </w:tc>
        <w:tc>
          <w:tcPr>
            <w:tcW w:w="1016" w:type="dxa"/>
            <w:tcBorders>
              <w:top w:val="nil"/>
              <w:left w:val="nil"/>
              <w:bottom w:val="single" w:sz="4" w:space="0" w:color="auto"/>
              <w:right w:val="single" w:sz="4" w:space="0" w:color="auto"/>
            </w:tcBorders>
            <w:shd w:val="clear" w:color="auto" w:fill="auto"/>
            <w:noWrap/>
            <w:vAlign w:val="bottom"/>
            <w:hideMark/>
          </w:tcPr>
          <w:p w:rsidR="00F36D63" w:rsidRPr="00CE3919" w:rsidRDefault="00664804" w:rsidP="008F58CF">
            <w:pPr>
              <w:jc w:val="right"/>
              <w:rPr>
                <w:rFonts w:eastAsia="Times New Roman" w:cs="Arial"/>
                <w:b/>
                <w:bCs/>
                <w:color w:val="000000"/>
                <w:szCs w:val="24"/>
                <w:lang w:eastAsia="en-GB"/>
              </w:rPr>
            </w:pPr>
            <w:r>
              <w:rPr>
                <w:rFonts w:eastAsia="Times New Roman" w:cs="Arial"/>
                <w:b/>
                <w:bCs/>
                <w:color w:val="000000"/>
                <w:szCs w:val="24"/>
                <w:lang w:eastAsia="en-GB"/>
              </w:rPr>
              <w:t>2,364</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F36D63"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100%</w:t>
            </w:r>
          </w:p>
        </w:tc>
      </w:tr>
      <w:tr w:rsidR="00F36D63" w:rsidRPr="00CE3919" w:rsidTr="008F58CF">
        <w:trPr>
          <w:trHeight w:val="345"/>
        </w:trPr>
        <w:tc>
          <w:tcPr>
            <w:tcW w:w="3773" w:type="dxa"/>
            <w:tcBorders>
              <w:top w:val="nil"/>
              <w:left w:val="nil"/>
              <w:bottom w:val="nil"/>
              <w:right w:val="nil"/>
            </w:tcBorders>
            <w:shd w:val="clear" w:color="auto" w:fill="auto"/>
            <w:noWrap/>
            <w:vAlign w:val="bottom"/>
            <w:hideMark/>
          </w:tcPr>
          <w:p w:rsidR="00F36D63" w:rsidRPr="00CE3919" w:rsidRDefault="00F36D63" w:rsidP="008F58CF">
            <w:pPr>
              <w:rPr>
                <w:rFonts w:ascii="Calibri" w:eastAsia="Times New Roman" w:hAnsi="Calibri" w:cs="Times New Roman"/>
                <w:color w:val="000000"/>
                <w:lang w:eastAsia="en-GB"/>
              </w:rPr>
            </w:pPr>
          </w:p>
        </w:tc>
        <w:tc>
          <w:tcPr>
            <w:tcW w:w="1123" w:type="dxa"/>
            <w:tcBorders>
              <w:top w:val="nil"/>
              <w:left w:val="nil"/>
              <w:bottom w:val="nil"/>
              <w:right w:val="nil"/>
            </w:tcBorders>
            <w:shd w:val="clear" w:color="auto" w:fill="auto"/>
            <w:noWrap/>
            <w:vAlign w:val="bottom"/>
            <w:hideMark/>
          </w:tcPr>
          <w:p w:rsidR="00F36D63" w:rsidRPr="00CE3919" w:rsidRDefault="00F36D63" w:rsidP="008F58CF">
            <w:pPr>
              <w:rPr>
                <w:rFonts w:ascii="Calibri" w:eastAsia="Times New Roman" w:hAnsi="Calibri" w:cs="Times New Roman"/>
                <w:color w:val="000000"/>
                <w:lang w:eastAsia="en-GB"/>
              </w:rPr>
            </w:pPr>
          </w:p>
        </w:tc>
        <w:tc>
          <w:tcPr>
            <w:tcW w:w="1497" w:type="dxa"/>
            <w:tcBorders>
              <w:top w:val="nil"/>
              <w:left w:val="nil"/>
              <w:bottom w:val="nil"/>
              <w:right w:val="nil"/>
            </w:tcBorders>
            <w:shd w:val="clear" w:color="auto" w:fill="auto"/>
            <w:noWrap/>
            <w:vAlign w:val="bottom"/>
            <w:hideMark/>
          </w:tcPr>
          <w:p w:rsidR="00F36D63" w:rsidRPr="00CE3919" w:rsidRDefault="00F36D63" w:rsidP="008F58CF">
            <w:pPr>
              <w:rPr>
                <w:rFonts w:ascii="Calibri" w:eastAsia="Times New Roman" w:hAnsi="Calibri" w:cs="Times New Roman"/>
                <w:color w:val="000000"/>
                <w:lang w:eastAsia="en-GB"/>
              </w:rPr>
            </w:pPr>
          </w:p>
        </w:tc>
        <w:tc>
          <w:tcPr>
            <w:tcW w:w="1536" w:type="dxa"/>
            <w:tcBorders>
              <w:top w:val="nil"/>
              <w:left w:val="nil"/>
              <w:bottom w:val="nil"/>
              <w:right w:val="nil"/>
            </w:tcBorders>
            <w:shd w:val="clear" w:color="auto" w:fill="auto"/>
            <w:noWrap/>
            <w:vAlign w:val="bottom"/>
            <w:hideMark/>
          </w:tcPr>
          <w:p w:rsidR="00F36D63" w:rsidRPr="00CE3919" w:rsidRDefault="00F36D63" w:rsidP="008F58CF">
            <w:pPr>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F36D63" w:rsidRPr="00CE3919" w:rsidRDefault="00F36D63" w:rsidP="008F58CF">
            <w:pPr>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rsidR="00F36D63" w:rsidRPr="00CE3919" w:rsidRDefault="00F36D63" w:rsidP="008F58CF">
            <w:pPr>
              <w:rPr>
                <w:rFonts w:ascii="Calibri" w:eastAsia="Times New Roman" w:hAnsi="Calibri" w:cs="Times New Roman"/>
                <w:b/>
                <w:bCs/>
                <w:color w:val="000000"/>
                <w:lang w:eastAsia="en-GB"/>
              </w:rPr>
            </w:pPr>
          </w:p>
        </w:tc>
      </w:tr>
      <w:tr w:rsidR="00F36D63" w:rsidRPr="00CE3919" w:rsidTr="008F58CF">
        <w:trPr>
          <w:trHeight w:val="600"/>
        </w:trPr>
        <w:tc>
          <w:tcPr>
            <w:tcW w:w="3773" w:type="dxa"/>
            <w:tcBorders>
              <w:top w:val="single" w:sz="4" w:space="0" w:color="auto"/>
              <w:left w:val="single" w:sz="4" w:space="0" w:color="auto"/>
              <w:bottom w:val="single" w:sz="4" w:space="0" w:color="auto"/>
              <w:right w:val="single" w:sz="4" w:space="0" w:color="auto"/>
            </w:tcBorders>
            <w:shd w:val="clear" w:color="000000" w:fill="1F497D"/>
            <w:vAlign w:val="bottom"/>
            <w:hideMark/>
          </w:tcPr>
          <w:p w:rsidR="00F36D63" w:rsidRPr="00CE3919" w:rsidRDefault="00F36D63" w:rsidP="008F58CF">
            <w:pPr>
              <w:rPr>
                <w:rFonts w:eastAsia="Times New Roman" w:cs="Arial"/>
                <w:b/>
                <w:bCs/>
                <w:color w:val="FFFFFF"/>
                <w:szCs w:val="24"/>
                <w:lang w:eastAsia="en-GB"/>
              </w:rPr>
            </w:pPr>
            <w:r w:rsidRPr="00CE3919">
              <w:rPr>
                <w:rFonts w:eastAsia="Times New Roman" w:cs="Arial"/>
                <w:b/>
                <w:bCs/>
                <w:color w:val="FFFFFF"/>
                <w:szCs w:val="24"/>
                <w:lang w:eastAsia="en-GB"/>
              </w:rPr>
              <w:t>Long Term Support at year end by Primary Support Reason for Age Band 65+</w:t>
            </w:r>
          </w:p>
        </w:tc>
        <w:tc>
          <w:tcPr>
            <w:tcW w:w="1123" w:type="dxa"/>
            <w:tcBorders>
              <w:top w:val="single" w:sz="4" w:space="0" w:color="auto"/>
              <w:left w:val="nil"/>
              <w:bottom w:val="single" w:sz="4" w:space="0" w:color="auto"/>
              <w:right w:val="single" w:sz="4" w:space="0" w:color="auto"/>
            </w:tcBorders>
            <w:shd w:val="clear" w:color="000000" w:fill="1F497D"/>
            <w:noWrap/>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Nursing</w:t>
            </w:r>
          </w:p>
        </w:tc>
        <w:tc>
          <w:tcPr>
            <w:tcW w:w="1497" w:type="dxa"/>
            <w:tcBorders>
              <w:top w:val="single" w:sz="4" w:space="0" w:color="auto"/>
              <w:left w:val="nil"/>
              <w:bottom w:val="single" w:sz="4" w:space="0" w:color="auto"/>
              <w:right w:val="single" w:sz="4" w:space="0" w:color="auto"/>
            </w:tcBorders>
            <w:shd w:val="clear" w:color="000000" w:fill="1F497D"/>
            <w:noWrap/>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Residential</w:t>
            </w:r>
          </w:p>
        </w:tc>
        <w:tc>
          <w:tcPr>
            <w:tcW w:w="1536" w:type="dxa"/>
            <w:tcBorders>
              <w:top w:val="single" w:sz="4" w:space="0" w:color="auto"/>
              <w:left w:val="nil"/>
              <w:bottom w:val="single" w:sz="4" w:space="0" w:color="auto"/>
              <w:right w:val="single" w:sz="4" w:space="0" w:color="auto"/>
            </w:tcBorders>
            <w:shd w:val="clear" w:color="000000" w:fill="1F497D"/>
            <w:noWrap/>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Community</w:t>
            </w:r>
          </w:p>
        </w:tc>
        <w:tc>
          <w:tcPr>
            <w:tcW w:w="1016" w:type="dxa"/>
            <w:tcBorders>
              <w:top w:val="single" w:sz="4" w:space="0" w:color="auto"/>
              <w:left w:val="nil"/>
              <w:bottom w:val="single" w:sz="4" w:space="0" w:color="auto"/>
              <w:right w:val="single" w:sz="4" w:space="0" w:color="auto"/>
            </w:tcBorders>
            <w:shd w:val="clear" w:color="000000" w:fill="1F497D"/>
            <w:noWrap/>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TOTAL</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w:t>
            </w:r>
          </w:p>
        </w:tc>
      </w:tr>
      <w:tr w:rsidR="00F36D63"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CE3919" w:rsidRDefault="00F36D63" w:rsidP="008F58CF">
            <w:pPr>
              <w:rPr>
                <w:rFonts w:eastAsia="Times New Roman" w:cs="Arial"/>
                <w:color w:val="000000"/>
                <w:szCs w:val="24"/>
                <w:lang w:eastAsia="en-GB"/>
              </w:rPr>
            </w:pPr>
            <w:r w:rsidRPr="00CE3919">
              <w:rPr>
                <w:rFonts w:eastAsia="Times New Roman" w:cs="Arial"/>
                <w:color w:val="000000"/>
                <w:szCs w:val="24"/>
                <w:lang w:eastAsia="en-GB"/>
              </w:rPr>
              <w:t>Learning Disability Support</w:t>
            </w:r>
          </w:p>
        </w:tc>
        <w:tc>
          <w:tcPr>
            <w:tcW w:w="1123"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18</w:t>
            </w:r>
          </w:p>
        </w:tc>
        <w:tc>
          <w:tcPr>
            <w:tcW w:w="1497"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55</w:t>
            </w:r>
          </w:p>
        </w:tc>
        <w:tc>
          <w:tcPr>
            <w:tcW w:w="1536"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74</w:t>
            </w:r>
          </w:p>
        </w:tc>
        <w:tc>
          <w:tcPr>
            <w:tcW w:w="1016" w:type="dxa"/>
            <w:tcBorders>
              <w:top w:val="nil"/>
              <w:left w:val="nil"/>
              <w:bottom w:val="single" w:sz="4" w:space="0" w:color="auto"/>
              <w:right w:val="single" w:sz="4" w:space="0" w:color="auto"/>
            </w:tcBorders>
            <w:shd w:val="clear" w:color="auto" w:fill="auto"/>
            <w:noWrap/>
            <w:vAlign w:val="bottom"/>
          </w:tcPr>
          <w:p w:rsidR="00F36D63" w:rsidRPr="00CE3919" w:rsidRDefault="00855640" w:rsidP="008F58CF">
            <w:pPr>
              <w:jc w:val="right"/>
              <w:rPr>
                <w:rFonts w:eastAsia="Times New Roman" w:cs="Arial"/>
                <w:b/>
                <w:bCs/>
                <w:color w:val="000000"/>
                <w:szCs w:val="24"/>
                <w:lang w:eastAsia="en-GB"/>
              </w:rPr>
            </w:pPr>
            <w:r>
              <w:rPr>
                <w:rFonts w:eastAsia="Times New Roman" w:cs="Arial"/>
                <w:b/>
                <w:bCs/>
                <w:color w:val="000000"/>
                <w:szCs w:val="24"/>
                <w:lang w:eastAsia="en-GB"/>
              </w:rPr>
              <w:t>147</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F36D63"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w:t>
            </w:r>
          </w:p>
        </w:tc>
      </w:tr>
      <w:tr w:rsidR="00F36D63"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CE3919" w:rsidRDefault="00F36D63" w:rsidP="008F58CF">
            <w:pPr>
              <w:rPr>
                <w:rFonts w:eastAsia="Times New Roman" w:cs="Arial"/>
                <w:color w:val="000000"/>
                <w:szCs w:val="24"/>
                <w:lang w:eastAsia="en-GB"/>
              </w:rPr>
            </w:pPr>
            <w:r w:rsidRPr="00CE3919">
              <w:rPr>
                <w:rFonts w:eastAsia="Times New Roman" w:cs="Arial"/>
                <w:color w:val="000000"/>
                <w:szCs w:val="24"/>
                <w:lang w:eastAsia="en-GB"/>
              </w:rPr>
              <w:t>Mental Health Support</w:t>
            </w:r>
          </w:p>
        </w:tc>
        <w:tc>
          <w:tcPr>
            <w:tcW w:w="1123"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2</w:t>
            </w:r>
          </w:p>
        </w:tc>
        <w:tc>
          <w:tcPr>
            <w:tcW w:w="1497"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4</w:t>
            </w:r>
          </w:p>
        </w:tc>
        <w:tc>
          <w:tcPr>
            <w:tcW w:w="1536"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13</w:t>
            </w:r>
          </w:p>
        </w:tc>
        <w:tc>
          <w:tcPr>
            <w:tcW w:w="1016" w:type="dxa"/>
            <w:tcBorders>
              <w:top w:val="nil"/>
              <w:left w:val="nil"/>
              <w:bottom w:val="single" w:sz="4" w:space="0" w:color="auto"/>
              <w:right w:val="single" w:sz="4" w:space="0" w:color="auto"/>
            </w:tcBorders>
            <w:shd w:val="clear" w:color="auto" w:fill="auto"/>
            <w:noWrap/>
            <w:vAlign w:val="bottom"/>
          </w:tcPr>
          <w:p w:rsidR="00F36D63" w:rsidRPr="00CE3919" w:rsidRDefault="00855640" w:rsidP="008F58CF">
            <w:pPr>
              <w:jc w:val="right"/>
              <w:rPr>
                <w:rFonts w:eastAsia="Times New Roman" w:cs="Arial"/>
                <w:b/>
                <w:bCs/>
                <w:color w:val="000000"/>
                <w:szCs w:val="24"/>
                <w:lang w:eastAsia="en-GB"/>
              </w:rPr>
            </w:pPr>
            <w:r>
              <w:rPr>
                <w:rFonts w:eastAsia="Times New Roman" w:cs="Arial"/>
                <w:b/>
                <w:bCs/>
                <w:color w:val="000000"/>
                <w:szCs w:val="24"/>
                <w:lang w:eastAsia="en-GB"/>
              </w:rPr>
              <w:t>19</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F36D63"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w:t>
            </w:r>
          </w:p>
        </w:tc>
      </w:tr>
      <w:tr w:rsidR="00F36D63"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CE3919" w:rsidRDefault="00F36D63" w:rsidP="008F58CF">
            <w:pPr>
              <w:rPr>
                <w:rFonts w:eastAsia="Times New Roman" w:cs="Arial"/>
                <w:color w:val="000000"/>
                <w:szCs w:val="24"/>
                <w:lang w:eastAsia="en-GB"/>
              </w:rPr>
            </w:pPr>
            <w:r w:rsidRPr="00CE3919">
              <w:rPr>
                <w:rFonts w:eastAsia="Times New Roman" w:cs="Arial"/>
                <w:color w:val="000000"/>
                <w:szCs w:val="24"/>
                <w:lang w:eastAsia="en-GB"/>
              </w:rPr>
              <w:t>Physical Support</w:t>
            </w:r>
          </w:p>
        </w:tc>
        <w:tc>
          <w:tcPr>
            <w:tcW w:w="1123"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279</w:t>
            </w:r>
          </w:p>
        </w:tc>
        <w:tc>
          <w:tcPr>
            <w:tcW w:w="1497"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788</w:t>
            </w:r>
          </w:p>
        </w:tc>
        <w:tc>
          <w:tcPr>
            <w:tcW w:w="1536"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1,588</w:t>
            </w:r>
          </w:p>
        </w:tc>
        <w:tc>
          <w:tcPr>
            <w:tcW w:w="1016" w:type="dxa"/>
            <w:tcBorders>
              <w:top w:val="nil"/>
              <w:left w:val="nil"/>
              <w:bottom w:val="single" w:sz="4" w:space="0" w:color="auto"/>
              <w:right w:val="single" w:sz="4" w:space="0" w:color="auto"/>
            </w:tcBorders>
            <w:shd w:val="clear" w:color="auto" w:fill="auto"/>
            <w:noWrap/>
            <w:vAlign w:val="bottom"/>
          </w:tcPr>
          <w:p w:rsidR="00F36D63" w:rsidRPr="00CE3919" w:rsidRDefault="00855640" w:rsidP="008F58CF">
            <w:pPr>
              <w:jc w:val="right"/>
              <w:rPr>
                <w:rFonts w:eastAsia="Times New Roman" w:cs="Arial"/>
                <w:b/>
                <w:bCs/>
                <w:color w:val="000000"/>
                <w:szCs w:val="24"/>
                <w:lang w:eastAsia="en-GB"/>
              </w:rPr>
            </w:pPr>
            <w:r>
              <w:rPr>
                <w:rFonts w:eastAsia="Times New Roman" w:cs="Arial"/>
                <w:b/>
                <w:bCs/>
                <w:color w:val="000000"/>
                <w:szCs w:val="24"/>
                <w:lang w:eastAsia="en-GB"/>
              </w:rPr>
              <w:t>2,655</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F36D63"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w:t>
            </w:r>
          </w:p>
        </w:tc>
      </w:tr>
      <w:tr w:rsidR="00F36D63"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CE3919" w:rsidRDefault="00F36D63" w:rsidP="008F58CF">
            <w:pPr>
              <w:rPr>
                <w:rFonts w:eastAsia="Times New Roman" w:cs="Arial"/>
                <w:color w:val="000000"/>
                <w:szCs w:val="24"/>
                <w:lang w:eastAsia="en-GB"/>
              </w:rPr>
            </w:pPr>
            <w:r w:rsidRPr="00CE3919">
              <w:rPr>
                <w:rFonts w:eastAsia="Times New Roman" w:cs="Arial"/>
                <w:color w:val="000000"/>
                <w:szCs w:val="24"/>
                <w:lang w:eastAsia="en-GB"/>
              </w:rPr>
              <w:t>Sensory Support</w:t>
            </w:r>
          </w:p>
        </w:tc>
        <w:tc>
          <w:tcPr>
            <w:tcW w:w="1123"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1</w:t>
            </w:r>
          </w:p>
        </w:tc>
        <w:tc>
          <w:tcPr>
            <w:tcW w:w="1497"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4</w:t>
            </w:r>
          </w:p>
        </w:tc>
        <w:tc>
          <w:tcPr>
            <w:tcW w:w="1536"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24</w:t>
            </w:r>
          </w:p>
        </w:tc>
        <w:tc>
          <w:tcPr>
            <w:tcW w:w="1016" w:type="dxa"/>
            <w:tcBorders>
              <w:top w:val="nil"/>
              <w:left w:val="nil"/>
              <w:bottom w:val="single" w:sz="4" w:space="0" w:color="auto"/>
              <w:right w:val="single" w:sz="4" w:space="0" w:color="auto"/>
            </w:tcBorders>
            <w:shd w:val="clear" w:color="auto" w:fill="auto"/>
            <w:noWrap/>
            <w:vAlign w:val="bottom"/>
          </w:tcPr>
          <w:p w:rsidR="00F36D63" w:rsidRPr="00CE3919" w:rsidRDefault="00855640" w:rsidP="008F58CF">
            <w:pPr>
              <w:jc w:val="right"/>
              <w:rPr>
                <w:rFonts w:eastAsia="Times New Roman" w:cs="Arial"/>
                <w:b/>
                <w:bCs/>
                <w:color w:val="000000"/>
                <w:szCs w:val="24"/>
                <w:lang w:eastAsia="en-GB"/>
              </w:rPr>
            </w:pPr>
            <w:r>
              <w:rPr>
                <w:rFonts w:eastAsia="Times New Roman" w:cs="Arial"/>
                <w:b/>
                <w:bCs/>
                <w:color w:val="000000"/>
                <w:szCs w:val="24"/>
                <w:lang w:eastAsia="en-GB"/>
              </w:rPr>
              <w:t>29</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F36D63"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w:t>
            </w:r>
          </w:p>
        </w:tc>
      </w:tr>
      <w:tr w:rsidR="00F36D63"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CE3919" w:rsidRDefault="00F36D63" w:rsidP="008F58CF">
            <w:pPr>
              <w:rPr>
                <w:rFonts w:eastAsia="Times New Roman" w:cs="Arial"/>
                <w:color w:val="000000"/>
                <w:szCs w:val="24"/>
                <w:lang w:eastAsia="en-GB"/>
              </w:rPr>
            </w:pPr>
            <w:r w:rsidRPr="00CE3919">
              <w:rPr>
                <w:rFonts w:eastAsia="Times New Roman" w:cs="Arial"/>
                <w:color w:val="000000"/>
                <w:szCs w:val="24"/>
                <w:lang w:eastAsia="en-GB"/>
              </w:rPr>
              <w:t>Social Support</w:t>
            </w:r>
          </w:p>
        </w:tc>
        <w:tc>
          <w:tcPr>
            <w:tcW w:w="1123"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0</w:t>
            </w:r>
          </w:p>
        </w:tc>
        <w:tc>
          <w:tcPr>
            <w:tcW w:w="1497"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1</w:t>
            </w:r>
          </w:p>
        </w:tc>
        <w:tc>
          <w:tcPr>
            <w:tcW w:w="1536"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0</w:t>
            </w:r>
          </w:p>
        </w:tc>
        <w:tc>
          <w:tcPr>
            <w:tcW w:w="1016" w:type="dxa"/>
            <w:tcBorders>
              <w:top w:val="nil"/>
              <w:left w:val="nil"/>
              <w:bottom w:val="single" w:sz="4" w:space="0" w:color="auto"/>
              <w:right w:val="single" w:sz="4" w:space="0" w:color="auto"/>
            </w:tcBorders>
            <w:shd w:val="clear" w:color="auto" w:fill="auto"/>
            <w:noWrap/>
            <w:vAlign w:val="bottom"/>
          </w:tcPr>
          <w:p w:rsidR="00F36D63" w:rsidRPr="00CE3919" w:rsidRDefault="00855640" w:rsidP="008F58CF">
            <w:pPr>
              <w:jc w:val="right"/>
              <w:rPr>
                <w:rFonts w:eastAsia="Times New Roman" w:cs="Arial"/>
                <w:b/>
                <w:bCs/>
                <w:color w:val="000000"/>
                <w:szCs w:val="24"/>
                <w:lang w:eastAsia="en-GB"/>
              </w:rPr>
            </w:pPr>
            <w:r>
              <w:rPr>
                <w:rFonts w:eastAsia="Times New Roman" w:cs="Arial"/>
                <w:b/>
                <w:bCs/>
                <w:color w:val="000000"/>
                <w:szCs w:val="24"/>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F36D63"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w:t>
            </w:r>
          </w:p>
        </w:tc>
      </w:tr>
      <w:tr w:rsidR="00F36D63"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CE3919" w:rsidRDefault="00F36D63" w:rsidP="008F58CF">
            <w:pPr>
              <w:rPr>
                <w:rFonts w:eastAsia="Times New Roman" w:cs="Arial"/>
                <w:color w:val="000000"/>
                <w:szCs w:val="24"/>
                <w:lang w:eastAsia="en-GB"/>
              </w:rPr>
            </w:pPr>
            <w:r w:rsidRPr="00CE3919">
              <w:rPr>
                <w:rFonts w:eastAsia="Times New Roman" w:cs="Arial"/>
                <w:color w:val="000000"/>
                <w:szCs w:val="24"/>
                <w:lang w:eastAsia="en-GB"/>
              </w:rPr>
              <w:t>Support with Memory and Cognition</w:t>
            </w:r>
          </w:p>
        </w:tc>
        <w:tc>
          <w:tcPr>
            <w:tcW w:w="1123"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104</w:t>
            </w:r>
          </w:p>
        </w:tc>
        <w:tc>
          <w:tcPr>
            <w:tcW w:w="1497"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291</w:t>
            </w:r>
          </w:p>
        </w:tc>
        <w:tc>
          <w:tcPr>
            <w:tcW w:w="1536" w:type="dxa"/>
            <w:tcBorders>
              <w:top w:val="nil"/>
              <w:left w:val="nil"/>
              <w:bottom w:val="single" w:sz="4" w:space="0" w:color="auto"/>
              <w:right w:val="single" w:sz="4" w:space="0" w:color="auto"/>
            </w:tcBorders>
            <w:shd w:val="clear" w:color="auto" w:fill="auto"/>
            <w:noWrap/>
            <w:vAlign w:val="bottom"/>
          </w:tcPr>
          <w:p w:rsidR="00F36D63" w:rsidRPr="00CE3919" w:rsidRDefault="00060CEB" w:rsidP="008F58CF">
            <w:pPr>
              <w:jc w:val="right"/>
              <w:rPr>
                <w:rFonts w:eastAsia="Times New Roman" w:cs="Arial"/>
                <w:color w:val="000000"/>
                <w:szCs w:val="24"/>
                <w:lang w:eastAsia="en-GB"/>
              </w:rPr>
            </w:pPr>
            <w:r>
              <w:rPr>
                <w:rFonts w:eastAsia="Times New Roman" w:cs="Arial"/>
                <w:color w:val="000000"/>
                <w:szCs w:val="24"/>
                <w:lang w:eastAsia="en-GB"/>
              </w:rPr>
              <w:t>128</w:t>
            </w:r>
          </w:p>
        </w:tc>
        <w:tc>
          <w:tcPr>
            <w:tcW w:w="1016" w:type="dxa"/>
            <w:tcBorders>
              <w:top w:val="nil"/>
              <w:left w:val="nil"/>
              <w:bottom w:val="single" w:sz="4" w:space="0" w:color="auto"/>
              <w:right w:val="single" w:sz="4" w:space="0" w:color="auto"/>
            </w:tcBorders>
            <w:shd w:val="clear" w:color="auto" w:fill="auto"/>
            <w:noWrap/>
            <w:vAlign w:val="bottom"/>
          </w:tcPr>
          <w:p w:rsidR="00F36D63" w:rsidRPr="00CE3919" w:rsidRDefault="00855640" w:rsidP="008F58CF">
            <w:pPr>
              <w:jc w:val="right"/>
              <w:rPr>
                <w:rFonts w:eastAsia="Times New Roman" w:cs="Arial"/>
                <w:b/>
                <w:bCs/>
                <w:color w:val="000000"/>
                <w:szCs w:val="24"/>
                <w:lang w:eastAsia="en-GB"/>
              </w:rPr>
            </w:pPr>
            <w:r>
              <w:rPr>
                <w:rFonts w:eastAsia="Times New Roman" w:cs="Arial"/>
                <w:b/>
                <w:bCs/>
                <w:color w:val="000000"/>
                <w:szCs w:val="24"/>
                <w:lang w:eastAsia="en-GB"/>
              </w:rPr>
              <w:t>523</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CE3919" w:rsidRDefault="00F36D63"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w:t>
            </w:r>
          </w:p>
        </w:tc>
      </w:tr>
      <w:tr w:rsidR="00F36D63"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F36D63" w:rsidRPr="00417591" w:rsidRDefault="00417591" w:rsidP="008F58CF">
            <w:pPr>
              <w:rPr>
                <w:rFonts w:eastAsia="Times New Roman" w:cs="Arial"/>
                <w:b/>
                <w:color w:val="000000"/>
                <w:szCs w:val="24"/>
                <w:lang w:eastAsia="en-GB"/>
              </w:rPr>
            </w:pPr>
            <w:r w:rsidRPr="00417591">
              <w:rPr>
                <w:rFonts w:eastAsia="Times New Roman" w:cs="Arial"/>
                <w:b/>
                <w:color w:val="000000"/>
                <w:szCs w:val="24"/>
                <w:lang w:eastAsia="en-GB"/>
              </w:rPr>
              <w:t>TOTAL</w:t>
            </w:r>
          </w:p>
        </w:tc>
        <w:tc>
          <w:tcPr>
            <w:tcW w:w="1123" w:type="dxa"/>
            <w:tcBorders>
              <w:top w:val="nil"/>
              <w:left w:val="nil"/>
              <w:bottom w:val="single" w:sz="4" w:space="0" w:color="auto"/>
              <w:right w:val="single" w:sz="4" w:space="0" w:color="auto"/>
            </w:tcBorders>
            <w:shd w:val="clear" w:color="auto" w:fill="auto"/>
            <w:noWrap/>
            <w:vAlign w:val="bottom"/>
          </w:tcPr>
          <w:p w:rsidR="00F36D63" w:rsidRPr="00060CEB" w:rsidRDefault="00060CEB" w:rsidP="00060CEB">
            <w:pPr>
              <w:jc w:val="right"/>
              <w:rPr>
                <w:rFonts w:eastAsia="Times New Roman" w:cs="Arial"/>
                <w:b/>
                <w:color w:val="000000"/>
                <w:szCs w:val="24"/>
                <w:lang w:eastAsia="en-GB"/>
              </w:rPr>
            </w:pPr>
            <w:r w:rsidRPr="00060CEB">
              <w:rPr>
                <w:rFonts w:eastAsia="Times New Roman" w:cs="Arial"/>
                <w:b/>
                <w:color w:val="000000"/>
                <w:szCs w:val="24"/>
                <w:lang w:eastAsia="en-GB"/>
              </w:rPr>
              <w:t>404</w:t>
            </w:r>
          </w:p>
        </w:tc>
        <w:tc>
          <w:tcPr>
            <w:tcW w:w="1497" w:type="dxa"/>
            <w:tcBorders>
              <w:top w:val="nil"/>
              <w:left w:val="nil"/>
              <w:bottom w:val="single" w:sz="4" w:space="0" w:color="auto"/>
              <w:right w:val="single" w:sz="4" w:space="0" w:color="auto"/>
            </w:tcBorders>
            <w:shd w:val="clear" w:color="auto" w:fill="auto"/>
            <w:noWrap/>
            <w:vAlign w:val="bottom"/>
          </w:tcPr>
          <w:p w:rsidR="00F36D63" w:rsidRPr="00060CEB" w:rsidRDefault="00060CEB" w:rsidP="00060CEB">
            <w:pPr>
              <w:jc w:val="right"/>
              <w:rPr>
                <w:rFonts w:eastAsia="Times New Roman" w:cs="Arial"/>
                <w:b/>
                <w:color w:val="000000"/>
                <w:szCs w:val="24"/>
                <w:lang w:eastAsia="en-GB"/>
              </w:rPr>
            </w:pPr>
            <w:r w:rsidRPr="00060CEB">
              <w:rPr>
                <w:rFonts w:eastAsia="Times New Roman" w:cs="Arial"/>
                <w:b/>
                <w:color w:val="000000"/>
                <w:szCs w:val="24"/>
                <w:lang w:eastAsia="en-GB"/>
              </w:rPr>
              <w:t>1143</w:t>
            </w:r>
          </w:p>
        </w:tc>
        <w:tc>
          <w:tcPr>
            <w:tcW w:w="1536" w:type="dxa"/>
            <w:tcBorders>
              <w:top w:val="nil"/>
              <w:left w:val="nil"/>
              <w:bottom w:val="single" w:sz="4" w:space="0" w:color="auto"/>
              <w:right w:val="single" w:sz="4" w:space="0" w:color="auto"/>
            </w:tcBorders>
            <w:shd w:val="clear" w:color="auto" w:fill="auto"/>
            <w:noWrap/>
            <w:vAlign w:val="bottom"/>
          </w:tcPr>
          <w:p w:rsidR="00F36D63" w:rsidRPr="00060CEB" w:rsidRDefault="00060CEB" w:rsidP="00060CEB">
            <w:pPr>
              <w:jc w:val="right"/>
              <w:rPr>
                <w:rFonts w:eastAsia="Times New Roman" w:cs="Arial"/>
                <w:b/>
                <w:color w:val="000000"/>
                <w:szCs w:val="24"/>
                <w:lang w:eastAsia="en-GB"/>
              </w:rPr>
            </w:pPr>
            <w:r w:rsidRPr="00060CEB">
              <w:rPr>
                <w:rFonts w:eastAsia="Times New Roman" w:cs="Arial"/>
                <w:b/>
                <w:color w:val="000000"/>
                <w:szCs w:val="24"/>
                <w:lang w:eastAsia="en-GB"/>
              </w:rPr>
              <w:t>1,827</w:t>
            </w:r>
          </w:p>
        </w:tc>
        <w:tc>
          <w:tcPr>
            <w:tcW w:w="1016" w:type="dxa"/>
            <w:tcBorders>
              <w:top w:val="nil"/>
              <w:left w:val="nil"/>
              <w:bottom w:val="single" w:sz="4" w:space="0" w:color="auto"/>
              <w:right w:val="single" w:sz="4" w:space="0" w:color="auto"/>
            </w:tcBorders>
            <w:shd w:val="clear" w:color="auto" w:fill="auto"/>
            <w:noWrap/>
            <w:vAlign w:val="bottom"/>
          </w:tcPr>
          <w:p w:rsidR="00F36D63" w:rsidRPr="00060CEB" w:rsidRDefault="00855640" w:rsidP="00060CEB">
            <w:pPr>
              <w:jc w:val="right"/>
              <w:rPr>
                <w:rFonts w:eastAsia="Times New Roman" w:cs="Arial"/>
                <w:b/>
                <w:color w:val="000000"/>
                <w:szCs w:val="24"/>
                <w:lang w:eastAsia="en-GB"/>
              </w:rPr>
            </w:pPr>
            <w:r>
              <w:rPr>
                <w:rFonts w:eastAsia="Times New Roman" w:cs="Arial"/>
                <w:b/>
                <w:color w:val="000000"/>
                <w:szCs w:val="24"/>
                <w:lang w:eastAsia="en-GB"/>
              </w:rPr>
              <w:t>3,373</w:t>
            </w:r>
          </w:p>
        </w:tc>
        <w:tc>
          <w:tcPr>
            <w:tcW w:w="960" w:type="dxa"/>
            <w:tcBorders>
              <w:top w:val="nil"/>
              <w:left w:val="nil"/>
              <w:bottom w:val="single" w:sz="4" w:space="0" w:color="auto"/>
              <w:right w:val="single" w:sz="4" w:space="0" w:color="auto"/>
            </w:tcBorders>
            <w:shd w:val="clear" w:color="auto" w:fill="auto"/>
            <w:noWrap/>
            <w:vAlign w:val="bottom"/>
            <w:hideMark/>
          </w:tcPr>
          <w:p w:rsidR="00F36D63" w:rsidRPr="00060CEB" w:rsidRDefault="00F36D63" w:rsidP="00060CEB">
            <w:pPr>
              <w:jc w:val="right"/>
              <w:rPr>
                <w:rFonts w:eastAsia="Times New Roman" w:cs="Arial"/>
                <w:b/>
                <w:color w:val="000000"/>
                <w:szCs w:val="24"/>
                <w:lang w:eastAsia="en-GB"/>
              </w:rPr>
            </w:pPr>
            <w:r w:rsidRPr="00060CEB">
              <w:rPr>
                <w:rFonts w:eastAsia="Times New Roman" w:cs="Arial"/>
                <w:b/>
                <w:color w:val="000000"/>
                <w:szCs w:val="24"/>
                <w:lang w:eastAsia="en-GB"/>
              </w:rPr>
              <w:t>%</w:t>
            </w:r>
          </w:p>
        </w:tc>
      </w:tr>
      <w:tr w:rsidR="00F36D63" w:rsidRPr="00CE3919" w:rsidTr="008F58CF">
        <w:trPr>
          <w:trHeight w:val="300"/>
        </w:trPr>
        <w:tc>
          <w:tcPr>
            <w:tcW w:w="3773" w:type="dxa"/>
            <w:tcBorders>
              <w:top w:val="nil"/>
              <w:left w:val="nil"/>
              <w:bottom w:val="nil"/>
              <w:right w:val="nil"/>
            </w:tcBorders>
            <w:shd w:val="clear" w:color="auto" w:fill="auto"/>
            <w:noWrap/>
            <w:vAlign w:val="bottom"/>
            <w:hideMark/>
          </w:tcPr>
          <w:p w:rsidR="00F36D63" w:rsidRPr="00CE3919" w:rsidRDefault="00F36D63" w:rsidP="008F58CF">
            <w:pPr>
              <w:rPr>
                <w:rFonts w:ascii="Calibri" w:eastAsia="Times New Roman" w:hAnsi="Calibri" w:cs="Times New Roman"/>
                <w:color w:val="000000"/>
                <w:lang w:eastAsia="en-GB"/>
              </w:rPr>
            </w:pPr>
          </w:p>
        </w:tc>
        <w:tc>
          <w:tcPr>
            <w:tcW w:w="1123" w:type="dxa"/>
            <w:tcBorders>
              <w:top w:val="nil"/>
              <w:left w:val="nil"/>
              <w:bottom w:val="nil"/>
              <w:right w:val="nil"/>
            </w:tcBorders>
            <w:shd w:val="clear" w:color="auto" w:fill="auto"/>
            <w:noWrap/>
            <w:vAlign w:val="bottom"/>
            <w:hideMark/>
          </w:tcPr>
          <w:p w:rsidR="00F36D63" w:rsidRPr="00CE3919" w:rsidRDefault="00F36D63" w:rsidP="008F58CF">
            <w:pPr>
              <w:rPr>
                <w:rFonts w:ascii="Calibri" w:eastAsia="Times New Roman" w:hAnsi="Calibri" w:cs="Times New Roman"/>
                <w:color w:val="000000"/>
                <w:lang w:eastAsia="en-GB"/>
              </w:rPr>
            </w:pPr>
          </w:p>
        </w:tc>
        <w:tc>
          <w:tcPr>
            <w:tcW w:w="1497" w:type="dxa"/>
            <w:tcBorders>
              <w:top w:val="nil"/>
              <w:left w:val="nil"/>
              <w:bottom w:val="nil"/>
              <w:right w:val="nil"/>
            </w:tcBorders>
            <w:shd w:val="clear" w:color="auto" w:fill="auto"/>
            <w:noWrap/>
            <w:vAlign w:val="bottom"/>
            <w:hideMark/>
          </w:tcPr>
          <w:p w:rsidR="00F36D63" w:rsidRPr="00CE3919" w:rsidRDefault="00F36D63" w:rsidP="008F58CF">
            <w:pPr>
              <w:rPr>
                <w:rFonts w:ascii="Calibri" w:eastAsia="Times New Roman" w:hAnsi="Calibri" w:cs="Times New Roman"/>
                <w:color w:val="000000"/>
                <w:lang w:eastAsia="en-GB"/>
              </w:rPr>
            </w:pPr>
          </w:p>
        </w:tc>
        <w:tc>
          <w:tcPr>
            <w:tcW w:w="1536" w:type="dxa"/>
            <w:tcBorders>
              <w:top w:val="nil"/>
              <w:left w:val="nil"/>
              <w:bottom w:val="nil"/>
              <w:right w:val="nil"/>
            </w:tcBorders>
            <w:shd w:val="clear" w:color="auto" w:fill="auto"/>
            <w:noWrap/>
            <w:vAlign w:val="bottom"/>
            <w:hideMark/>
          </w:tcPr>
          <w:p w:rsidR="00F36D63" w:rsidRPr="00CE3919" w:rsidRDefault="00F36D63" w:rsidP="008F58CF">
            <w:pPr>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F36D63" w:rsidRPr="00CE3919" w:rsidRDefault="00F36D63" w:rsidP="008F58CF">
            <w:pP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F36D63" w:rsidRPr="00CE3919" w:rsidRDefault="00F36D63" w:rsidP="008F58CF">
            <w:pPr>
              <w:rPr>
                <w:rFonts w:ascii="Calibri" w:eastAsia="Times New Roman" w:hAnsi="Calibri" w:cs="Times New Roman"/>
                <w:color w:val="000000"/>
                <w:lang w:eastAsia="en-GB"/>
              </w:rPr>
            </w:pPr>
          </w:p>
        </w:tc>
      </w:tr>
      <w:tr w:rsidR="00F36D63" w:rsidRPr="00CE3919" w:rsidTr="008F58CF">
        <w:trPr>
          <w:trHeight w:val="600"/>
        </w:trPr>
        <w:tc>
          <w:tcPr>
            <w:tcW w:w="3773" w:type="dxa"/>
            <w:tcBorders>
              <w:top w:val="single" w:sz="4" w:space="0" w:color="auto"/>
              <w:left w:val="single" w:sz="4" w:space="0" w:color="auto"/>
              <w:bottom w:val="single" w:sz="4" w:space="0" w:color="auto"/>
              <w:right w:val="single" w:sz="4" w:space="0" w:color="auto"/>
            </w:tcBorders>
            <w:shd w:val="clear" w:color="000000" w:fill="1F497D"/>
            <w:vAlign w:val="bottom"/>
            <w:hideMark/>
          </w:tcPr>
          <w:p w:rsidR="00F36D63" w:rsidRPr="00CE3919" w:rsidRDefault="00F36D63" w:rsidP="008F58CF">
            <w:pPr>
              <w:rPr>
                <w:rFonts w:eastAsia="Times New Roman" w:cs="Arial"/>
                <w:b/>
                <w:bCs/>
                <w:color w:val="FFFFFF"/>
                <w:szCs w:val="24"/>
                <w:lang w:eastAsia="en-GB"/>
              </w:rPr>
            </w:pPr>
            <w:r w:rsidRPr="00CE3919">
              <w:rPr>
                <w:rFonts w:eastAsia="Times New Roman" w:cs="Arial"/>
                <w:b/>
                <w:bCs/>
                <w:color w:val="FFFFFF"/>
                <w:szCs w:val="24"/>
                <w:lang w:eastAsia="en-GB"/>
              </w:rPr>
              <w:t>Long Term Support at year end by Primary Support Reason for Age Band 18+</w:t>
            </w:r>
          </w:p>
        </w:tc>
        <w:tc>
          <w:tcPr>
            <w:tcW w:w="1123" w:type="dxa"/>
            <w:tcBorders>
              <w:top w:val="single" w:sz="4" w:space="0" w:color="auto"/>
              <w:left w:val="nil"/>
              <w:bottom w:val="single" w:sz="4" w:space="0" w:color="auto"/>
              <w:right w:val="single" w:sz="4" w:space="0" w:color="auto"/>
            </w:tcBorders>
            <w:shd w:val="clear" w:color="000000" w:fill="1F497D"/>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Nursing</w:t>
            </w:r>
          </w:p>
        </w:tc>
        <w:tc>
          <w:tcPr>
            <w:tcW w:w="1497" w:type="dxa"/>
            <w:tcBorders>
              <w:top w:val="single" w:sz="4" w:space="0" w:color="auto"/>
              <w:left w:val="nil"/>
              <w:bottom w:val="single" w:sz="4" w:space="0" w:color="auto"/>
              <w:right w:val="single" w:sz="4" w:space="0" w:color="auto"/>
            </w:tcBorders>
            <w:shd w:val="clear" w:color="000000" w:fill="1F497D"/>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Residential</w:t>
            </w:r>
          </w:p>
        </w:tc>
        <w:tc>
          <w:tcPr>
            <w:tcW w:w="1536" w:type="dxa"/>
            <w:tcBorders>
              <w:top w:val="single" w:sz="4" w:space="0" w:color="auto"/>
              <w:left w:val="nil"/>
              <w:bottom w:val="single" w:sz="4" w:space="0" w:color="auto"/>
              <w:right w:val="single" w:sz="4" w:space="0" w:color="auto"/>
            </w:tcBorders>
            <w:shd w:val="clear" w:color="000000" w:fill="1F497D"/>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Community</w:t>
            </w:r>
          </w:p>
        </w:tc>
        <w:tc>
          <w:tcPr>
            <w:tcW w:w="1016" w:type="dxa"/>
            <w:tcBorders>
              <w:top w:val="single" w:sz="4" w:space="0" w:color="auto"/>
              <w:left w:val="nil"/>
              <w:bottom w:val="single" w:sz="4" w:space="0" w:color="auto"/>
              <w:right w:val="single" w:sz="4" w:space="0" w:color="auto"/>
            </w:tcBorders>
            <w:shd w:val="clear" w:color="000000" w:fill="1F497D"/>
            <w:vAlign w:val="bottom"/>
            <w:hideMark/>
          </w:tcPr>
          <w:p w:rsidR="00F36D63" w:rsidRPr="00CE3919" w:rsidRDefault="00F36D63" w:rsidP="008F58CF">
            <w:pPr>
              <w:jc w:val="center"/>
              <w:rPr>
                <w:rFonts w:eastAsia="Times New Roman" w:cs="Arial"/>
                <w:b/>
                <w:bCs/>
                <w:color w:val="FFFFFF"/>
                <w:szCs w:val="24"/>
                <w:lang w:eastAsia="en-GB"/>
              </w:rPr>
            </w:pPr>
            <w:r w:rsidRPr="00CE3919">
              <w:rPr>
                <w:rFonts w:eastAsia="Times New Roman" w:cs="Arial"/>
                <w:b/>
                <w:bCs/>
                <w:color w:val="FFFFFF"/>
                <w:szCs w:val="24"/>
                <w:lang w:eastAsia="en-GB"/>
              </w:rPr>
              <w:t>TOTAL</w:t>
            </w:r>
          </w:p>
        </w:tc>
        <w:tc>
          <w:tcPr>
            <w:tcW w:w="960" w:type="dxa"/>
            <w:tcBorders>
              <w:top w:val="single" w:sz="4" w:space="0" w:color="auto"/>
              <w:left w:val="nil"/>
              <w:bottom w:val="single" w:sz="4" w:space="0" w:color="auto"/>
              <w:right w:val="single" w:sz="4" w:space="0" w:color="auto"/>
            </w:tcBorders>
            <w:shd w:val="clear" w:color="000000" w:fill="1F497D"/>
            <w:vAlign w:val="bottom"/>
            <w:hideMark/>
          </w:tcPr>
          <w:p w:rsidR="00F36D63" w:rsidRPr="00CE3919" w:rsidRDefault="00F36D63" w:rsidP="008F58CF">
            <w:pPr>
              <w:jc w:val="center"/>
              <w:rPr>
                <w:rFonts w:eastAsia="Times New Roman" w:cs="Arial"/>
                <w:color w:val="FFFFFF"/>
                <w:szCs w:val="24"/>
                <w:lang w:eastAsia="en-GB"/>
              </w:rPr>
            </w:pPr>
            <w:r w:rsidRPr="00CE3919">
              <w:rPr>
                <w:rFonts w:eastAsia="Times New Roman" w:cs="Arial"/>
                <w:color w:val="FFFFFF"/>
                <w:szCs w:val="24"/>
                <w:lang w:eastAsia="en-GB"/>
              </w:rPr>
              <w:t>%</w:t>
            </w:r>
          </w:p>
        </w:tc>
      </w:tr>
      <w:tr w:rsidR="001C627F"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1C627F" w:rsidRPr="00CE3919" w:rsidRDefault="001C627F" w:rsidP="001A41BA">
            <w:pPr>
              <w:rPr>
                <w:rFonts w:eastAsia="Times New Roman" w:cs="Arial"/>
                <w:color w:val="000000"/>
                <w:szCs w:val="24"/>
                <w:lang w:eastAsia="en-GB"/>
              </w:rPr>
            </w:pPr>
            <w:r w:rsidRPr="00CE3919">
              <w:rPr>
                <w:rFonts w:eastAsia="Times New Roman" w:cs="Arial"/>
                <w:color w:val="000000"/>
                <w:szCs w:val="24"/>
                <w:lang w:eastAsia="en-GB"/>
              </w:rPr>
              <w:t>Learning Disability Support</w:t>
            </w:r>
          </w:p>
        </w:tc>
        <w:tc>
          <w:tcPr>
            <w:tcW w:w="1123" w:type="dxa"/>
            <w:tcBorders>
              <w:top w:val="nil"/>
              <w:left w:val="nil"/>
              <w:bottom w:val="single" w:sz="4" w:space="0" w:color="auto"/>
              <w:right w:val="single" w:sz="4" w:space="0" w:color="auto"/>
            </w:tcBorders>
            <w:shd w:val="clear" w:color="auto" w:fill="auto"/>
            <w:noWrap/>
            <w:vAlign w:val="bottom"/>
          </w:tcPr>
          <w:p w:rsidR="001C627F" w:rsidRPr="00CE3919" w:rsidRDefault="001C627F" w:rsidP="001C627F">
            <w:pPr>
              <w:jc w:val="right"/>
              <w:rPr>
                <w:rFonts w:eastAsia="Times New Roman" w:cs="Arial"/>
                <w:color w:val="000000"/>
                <w:szCs w:val="24"/>
                <w:lang w:eastAsia="en-GB"/>
              </w:rPr>
            </w:pPr>
            <w:r>
              <w:rPr>
                <w:rFonts w:eastAsia="Times New Roman" w:cs="Arial"/>
                <w:color w:val="000000"/>
                <w:szCs w:val="24"/>
                <w:lang w:eastAsia="en-GB"/>
              </w:rPr>
              <w:t>66</w:t>
            </w:r>
          </w:p>
        </w:tc>
        <w:tc>
          <w:tcPr>
            <w:tcW w:w="1497" w:type="dxa"/>
            <w:tcBorders>
              <w:top w:val="nil"/>
              <w:left w:val="nil"/>
              <w:bottom w:val="single" w:sz="4" w:space="0" w:color="auto"/>
              <w:right w:val="single" w:sz="4" w:space="0" w:color="auto"/>
            </w:tcBorders>
            <w:shd w:val="clear" w:color="auto" w:fill="auto"/>
            <w:noWrap/>
            <w:vAlign w:val="bottom"/>
          </w:tcPr>
          <w:p w:rsidR="001C627F" w:rsidRPr="00CE3919" w:rsidRDefault="001C627F" w:rsidP="001C627F">
            <w:pPr>
              <w:jc w:val="right"/>
              <w:rPr>
                <w:rFonts w:eastAsia="Times New Roman" w:cs="Arial"/>
                <w:color w:val="000000"/>
                <w:szCs w:val="24"/>
                <w:lang w:eastAsia="en-GB"/>
              </w:rPr>
            </w:pPr>
            <w:r>
              <w:rPr>
                <w:rFonts w:eastAsia="Times New Roman" w:cs="Arial"/>
                <w:color w:val="000000"/>
                <w:szCs w:val="24"/>
                <w:lang w:eastAsia="en-GB"/>
              </w:rPr>
              <w:t>199</w:t>
            </w:r>
          </w:p>
        </w:tc>
        <w:tc>
          <w:tcPr>
            <w:tcW w:w="1536"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1,323</w:t>
            </w:r>
          </w:p>
        </w:tc>
        <w:tc>
          <w:tcPr>
            <w:tcW w:w="1016"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b/>
                <w:bCs/>
                <w:color w:val="000000"/>
                <w:szCs w:val="24"/>
                <w:lang w:eastAsia="en-GB"/>
              </w:rPr>
            </w:pPr>
            <w:r>
              <w:rPr>
                <w:rFonts w:eastAsia="Times New Roman" w:cs="Arial"/>
                <w:b/>
                <w:bCs/>
                <w:color w:val="000000"/>
                <w:szCs w:val="24"/>
                <w:lang w:eastAsia="en-GB"/>
              </w:rPr>
              <w:t>1,588</w:t>
            </w:r>
          </w:p>
        </w:tc>
        <w:tc>
          <w:tcPr>
            <w:tcW w:w="960" w:type="dxa"/>
            <w:tcBorders>
              <w:top w:val="nil"/>
              <w:left w:val="nil"/>
              <w:bottom w:val="single" w:sz="4" w:space="0" w:color="auto"/>
              <w:right w:val="single" w:sz="4" w:space="0" w:color="auto"/>
            </w:tcBorders>
            <w:shd w:val="clear" w:color="auto" w:fill="auto"/>
            <w:noWrap/>
            <w:vAlign w:val="bottom"/>
            <w:hideMark/>
          </w:tcPr>
          <w:p w:rsidR="001C627F" w:rsidRPr="00CE3919" w:rsidRDefault="001C627F"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w:t>
            </w:r>
          </w:p>
        </w:tc>
      </w:tr>
      <w:tr w:rsidR="001C627F"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1C627F" w:rsidRPr="00CE3919" w:rsidRDefault="001C627F" w:rsidP="001A41BA">
            <w:pPr>
              <w:rPr>
                <w:rFonts w:eastAsia="Times New Roman" w:cs="Arial"/>
                <w:color w:val="000000"/>
                <w:szCs w:val="24"/>
                <w:lang w:eastAsia="en-GB"/>
              </w:rPr>
            </w:pPr>
            <w:r w:rsidRPr="00CE3919">
              <w:rPr>
                <w:rFonts w:eastAsia="Times New Roman" w:cs="Arial"/>
                <w:color w:val="000000"/>
                <w:szCs w:val="24"/>
                <w:lang w:eastAsia="en-GB"/>
              </w:rPr>
              <w:t>Mental Health Support</w:t>
            </w:r>
          </w:p>
        </w:tc>
        <w:tc>
          <w:tcPr>
            <w:tcW w:w="1123"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4</w:t>
            </w:r>
          </w:p>
        </w:tc>
        <w:tc>
          <w:tcPr>
            <w:tcW w:w="1497"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16</w:t>
            </w:r>
          </w:p>
        </w:tc>
        <w:tc>
          <w:tcPr>
            <w:tcW w:w="1536"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205</w:t>
            </w:r>
          </w:p>
        </w:tc>
        <w:tc>
          <w:tcPr>
            <w:tcW w:w="1016"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b/>
                <w:bCs/>
                <w:color w:val="000000"/>
                <w:szCs w:val="24"/>
                <w:lang w:eastAsia="en-GB"/>
              </w:rPr>
            </w:pPr>
            <w:r>
              <w:rPr>
                <w:rFonts w:eastAsia="Times New Roman" w:cs="Arial"/>
                <w:b/>
                <w:bCs/>
                <w:color w:val="000000"/>
                <w:szCs w:val="24"/>
                <w:lang w:eastAsia="en-GB"/>
              </w:rPr>
              <w:t>225</w:t>
            </w:r>
          </w:p>
        </w:tc>
        <w:tc>
          <w:tcPr>
            <w:tcW w:w="960" w:type="dxa"/>
            <w:tcBorders>
              <w:top w:val="nil"/>
              <w:left w:val="nil"/>
              <w:bottom w:val="single" w:sz="4" w:space="0" w:color="auto"/>
              <w:right w:val="single" w:sz="4" w:space="0" w:color="auto"/>
            </w:tcBorders>
            <w:shd w:val="clear" w:color="auto" w:fill="auto"/>
            <w:noWrap/>
            <w:vAlign w:val="bottom"/>
            <w:hideMark/>
          </w:tcPr>
          <w:p w:rsidR="001C627F" w:rsidRPr="00CE3919" w:rsidRDefault="001C627F" w:rsidP="006C2672">
            <w:pPr>
              <w:jc w:val="center"/>
              <w:rPr>
                <w:rFonts w:eastAsia="Times New Roman" w:cs="Arial"/>
                <w:b/>
                <w:bCs/>
                <w:color w:val="000000"/>
                <w:szCs w:val="24"/>
                <w:lang w:eastAsia="en-GB"/>
              </w:rPr>
            </w:pPr>
            <w:r>
              <w:rPr>
                <w:rFonts w:eastAsia="Times New Roman" w:cs="Arial"/>
                <w:b/>
                <w:bCs/>
                <w:color w:val="000000"/>
                <w:szCs w:val="24"/>
                <w:lang w:eastAsia="en-GB"/>
              </w:rPr>
              <w:t xml:space="preserve">       %</w:t>
            </w:r>
          </w:p>
        </w:tc>
      </w:tr>
      <w:tr w:rsidR="001C627F"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1C627F" w:rsidRPr="00CE3919" w:rsidRDefault="001C627F" w:rsidP="001A41BA">
            <w:pPr>
              <w:rPr>
                <w:rFonts w:eastAsia="Times New Roman" w:cs="Arial"/>
                <w:color w:val="000000"/>
                <w:szCs w:val="24"/>
                <w:lang w:eastAsia="en-GB"/>
              </w:rPr>
            </w:pPr>
            <w:r w:rsidRPr="00CE3919">
              <w:rPr>
                <w:rFonts w:eastAsia="Times New Roman" w:cs="Arial"/>
                <w:color w:val="000000"/>
                <w:szCs w:val="24"/>
                <w:lang w:eastAsia="en-GB"/>
              </w:rPr>
              <w:t>Physical Support</w:t>
            </w:r>
          </w:p>
        </w:tc>
        <w:tc>
          <w:tcPr>
            <w:tcW w:w="1123"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319</w:t>
            </w:r>
          </w:p>
        </w:tc>
        <w:tc>
          <w:tcPr>
            <w:tcW w:w="1497"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852</w:t>
            </w:r>
          </w:p>
        </w:tc>
        <w:tc>
          <w:tcPr>
            <w:tcW w:w="1536"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2,019</w:t>
            </w:r>
          </w:p>
        </w:tc>
        <w:tc>
          <w:tcPr>
            <w:tcW w:w="1016"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b/>
                <w:bCs/>
                <w:color w:val="000000"/>
                <w:szCs w:val="24"/>
                <w:lang w:eastAsia="en-GB"/>
              </w:rPr>
            </w:pPr>
            <w:r>
              <w:rPr>
                <w:rFonts w:eastAsia="Times New Roman" w:cs="Arial"/>
                <w:b/>
                <w:bCs/>
                <w:color w:val="000000"/>
                <w:szCs w:val="24"/>
                <w:lang w:eastAsia="en-GB"/>
              </w:rPr>
              <w:t>3,190</w:t>
            </w:r>
          </w:p>
        </w:tc>
        <w:tc>
          <w:tcPr>
            <w:tcW w:w="960" w:type="dxa"/>
            <w:tcBorders>
              <w:top w:val="nil"/>
              <w:left w:val="nil"/>
              <w:bottom w:val="single" w:sz="4" w:space="0" w:color="auto"/>
              <w:right w:val="single" w:sz="4" w:space="0" w:color="auto"/>
            </w:tcBorders>
            <w:shd w:val="clear" w:color="auto" w:fill="auto"/>
            <w:noWrap/>
            <w:vAlign w:val="bottom"/>
            <w:hideMark/>
          </w:tcPr>
          <w:p w:rsidR="001C627F" w:rsidRPr="00CE3919" w:rsidRDefault="001C627F"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w:t>
            </w:r>
          </w:p>
        </w:tc>
      </w:tr>
      <w:tr w:rsidR="001C627F"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1C627F" w:rsidRPr="00CE3919" w:rsidRDefault="001C627F" w:rsidP="001A41BA">
            <w:pPr>
              <w:rPr>
                <w:rFonts w:eastAsia="Times New Roman" w:cs="Arial"/>
                <w:color w:val="000000"/>
                <w:szCs w:val="24"/>
                <w:lang w:eastAsia="en-GB"/>
              </w:rPr>
            </w:pPr>
            <w:r w:rsidRPr="00CE3919">
              <w:rPr>
                <w:rFonts w:eastAsia="Times New Roman" w:cs="Arial"/>
                <w:color w:val="000000"/>
                <w:szCs w:val="24"/>
                <w:lang w:eastAsia="en-GB"/>
              </w:rPr>
              <w:t>Sensory Support</w:t>
            </w:r>
          </w:p>
        </w:tc>
        <w:tc>
          <w:tcPr>
            <w:tcW w:w="1123"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2</w:t>
            </w:r>
          </w:p>
        </w:tc>
        <w:tc>
          <w:tcPr>
            <w:tcW w:w="1497"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7</w:t>
            </w:r>
          </w:p>
        </w:tc>
        <w:tc>
          <w:tcPr>
            <w:tcW w:w="1536"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58</w:t>
            </w:r>
          </w:p>
        </w:tc>
        <w:tc>
          <w:tcPr>
            <w:tcW w:w="1016"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b/>
                <w:bCs/>
                <w:color w:val="000000"/>
                <w:szCs w:val="24"/>
                <w:lang w:eastAsia="en-GB"/>
              </w:rPr>
            </w:pPr>
            <w:r>
              <w:rPr>
                <w:rFonts w:eastAsia="Times New Roman" w:cs="Arial"/>
                <w:b/>
                <w:bCs/>
                <w:color w:val="000000"/>
                <w:szCs w:val="24"/>
                <w:lang w:eastAsia="en-GB"/>
              </w:rPr>
              <w:t>67</w:t>
            </w:r>
          </w:p>
        </w:tc>
        <w:tc>
          <w:tcPr>
            <w:tcW w:w="960" w:type="dxa"/>
            <w:tcBorders>
              <w:top w:val="nil"/>
              <w:left w:val="nil"/>
              <w:bottom w:val="single" w:sz="4" w:space="0" w:color="auto"/>
              <w:right w:val="single" w:sz="4" w:space="0" w:color="auto"/>
            </w:tcBorders>
            <w:shd w:val="clear" w:color="auto" w:fill="auto"/>
            <w:noWrap/>
            <w:vAlign w:val="bottom"/>
            <w:hideMark/>
          </w:tcPr>
          <w:p w:rsidR="001C627F" w:rsidRPr="00CE3919" w:rsidRDefault="001C627F"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w:t>
            </w:r>
          </w:p>
        </w:tc>
      </w:tr>
      <w:tr w:rsidR="001C627F"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1C627F" w:rsidRPr="00CE3919" w:rsidRDefault="001C627F" w:rsidP="001A41BA">
            <w:pPr>
              <w:rPr>
                <w:rFonts w:eastAsia="Times New Roman" w:cs="Arial"/>
                <w:color w:val="000000"/>
                <w:szCs w:val="24"/>
                <w:lang w:eastAsia="en-GB"/>
              </w:rPr>
            </w:pPr>
            <w:r w:rsidRPr="00CE3919">
              <w:rPr>
                <w:rFonts w:eastAsia="Times New Roman" w:cs="Arial"/>
                <w:color w:val="000000"/>
                <w:szCs w:val="24"/>
                <w:lang w:eastAsia="en-GB"/>
              </w:rPr>
              <w:t>Social Support</w:t>
            </w:r>
          </w:p>
        </w:tc>
        <w:tc>
          <w:tcPr>
            <w:tcW w:w="1123"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0</w:t>
            </w:r>
          </w:p>
        </w:tc>
        <w:tc>
          <w:tcPr>
            <w:tcW w:w="1497"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12</w:t>
            </w:r>
          </w:p>
        </w:tc>
        <w:tc>
          <w:tcPr>
            <w:tcW w:w="1536"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0</w:t>
            </w:r>
          </w:p>
        </w:tc>
        <w:tc>
          <w:tcPr>
            <w:tcW w:w="1016"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b/>
                <w:bCs/>
                <w:color w:val="000000"/>
                <w:szCs w:val="24"/>
                <w:lang w:eastAsia="en-GB"/>
              </w:rPr>
            </w:pPr>
            <w:r>
              <w:rPr>
                <w:rFonts w:eastAsia="Times New Roman" w:cs="Arial"/>
                <w:b/>
                <w:bCs/>
                <w:color w:val="000000"/>
                <w:szCs w:val="24"/>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rsidR="001C627F" w:rsidRPr="00CE3919" w:rsidRDefault="001C627F"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w:t>
            </w:r>
          </w:p>
        </w:tc>
      </w:tr>
      <w:tr w:rsidR="001C627F"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1C627F" w:rsidRPr="00CE3919" w:rsidRDefault="001C627F" w:rsidP="001A41BA">
            <w:pPr>
              <w:rPr>
                <w:rFonts w:eastAsia="Times New Roman" w:cs="Arial"/>
                <w:color w:val="000000"/>
                <w:szCs w:val="24"/>
                <w:lang w:eastAsia="en-GB"/>
              </w:rPr>
            </w:pPr>
            <w:r w:rsidRPr="00CE3919">
              <w:rPr>
                <w:rFonts w:eastAsia="Times New Roman" w:cs="Arial"/>
                <w:color w:val="000000"/>
                <w:szCs w:val="24"/>
                <w:lang w:eastAsia="en-GB"/>
              </w:rPr>
              <w:t>Support with Memory and Cognition</w:t>
            </w:r>
          </w:p>
        </w:tc>
        <w:tc>
          <w:tcPr>
            <w:tcW w:w="1123"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133</w:t>
            </w:r>
          </w:p>
        </w:tc>
        <w:tc>
          <w:tcPr>
            <w:tcW w:w="1497"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367</w:t>
            </w:r>
          </w:p>
        </w:tc>
        <w:tc>
          <w:tcPr>
            <w:tcW w:w="1536"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color w:val="000000"/>
                <w:szCs w:val="24"/>
                <w:lang w:eastAsia="en-GB"/>
              </w:rPr>
            </w:pPr>
            <w:r>
              <w:rPr>
                <w:rFonts w:eastAsia="Times New Roman" w:cs="Arial"/>
                <w:color w:val="000000"/>
                <w:szCs w:val="24"/>
                <w:lang w:eastAsia="en-GB"/>
              </w:rPr>
              <w:t>156</w:t>
            </w:r>
          </w:p>
        </w:tc>
        <w:tc>
          <w:tcPr>
            <w:tcW w:w="1016" w:type="dxa"/>
            <w:tcBorders>
              <w:top w:val="nil"/>
              <w:left w:val="nil"/>
              <w:bottom w:val="single" w:sz="4" w:space="0" w:color="auto"/>
              <w:right w:val="single" w:sz="4" w:space="0" w:color="auto"/>
            </w:tcBorders>
            <w:shd w:val="clear" w:color="auto" w:fill="auto"/>
            <w:noWrap/>
            <w:vAlign w:val="bottom"/>
          </w:tcPr>
          <w:p w:rsidR="001C627F" w:rsidRPr="00CE3919" w:rsidRDefault="001C627F" w:rsidP="008F58CF">
            <w:pPr>
              <w:jc w:val="right"/>
              <w:rPr>
                <w:rFonts w:eastAsia="Times New Roman" w:cs="Arial"/>
                <w:b/>
                <w:bCs/>
                <w:color w:val="000000"/>
                <w:szCs w:val="24"/>
                <w:lang w:eastAsia="en-GB"/>
              </w:rPr>
            </w:pPr>
            <w:r>
              <w:rPr>
                <w:rFonts w:eastAsia="Times New Roman" w:cs="Arial"/>
                <w:b/>
                <w:bCs/>
                <w:color w:val="000000"/>
                <w:szCs w:val="24"/>
                <w:lang w:eastAsia="en-GB"/>
              </w:rPr>
              <w:t>656</w:t>
            </w:r>
          </w:p>
        </w:tc>
        <w:tc>
          <w:tcPr>
            <w:tcW w:w="960" w:type="dxa"/>
            <w:tcBorders>
              <w:top w:val="nil"/>
              <w:left w:val="nil"/>
              <w:bottom w:val="single" w:sz="4" w:space="0" w:color="auto"/>
              <w:right w:val="single" w:sz="4" w:space="0" w:color="auto"/>
            </w:tcBorders>
            <w:shd w:val="clear" w:color="auto" w:fill="auto"/>
            <w:noWrap/>
            <w:vAlign w:val="bottom"/>
            <w:hideMark/>
          </w:tcPr>
          <w:p w:rsidR="001C627F" w:rsidRPr="00CE3919" w:rsidRDefault="001C627F" w:rsidP="008F58CF">
            <w:pPr>
              <w:jc w:val="right"/>
              <w:rPr>
                <w:rFonts w:eastAsia="Times New Roman" w:cs="Arial"/>
                <w:b/>
                <w:bCs/>
                <w:color w:val="000000"/>
                <w:szCs w:val="24"/>
                <w:lang w:eastAsia="en-GB"/>
              </w:rPr>
            </w:pPr>
            <w:r w:rsidRPr="00CE3919">
              <w:rPr>
                <w:rFonts w:eastAsia="Times New Roman" w:cs="Arial"/>
                <w:b/>
                <w:bCs/>
                <w:color w:val="000000"/>
                <w:szCs w:val="24"/>
                <w:lang w:eastAsia="en-GB"/>
              </w:rPr>
              <w:t>%</w:t>
            </w:r>
          </w:p>
        </w:tc>
      </w:tr>
      <w:tr w:rsidR="001C627F" w:rsidRPr="00CE3919" w:rsidTr="006C2672">
        <w:trPr>
          <w:trHeight w:val="300"/>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1C627F" w:rsidRPr="00417591" w:rsidRDefault="001C627F" w:rsidP="001A41BA">
            <w:pPr>
              <w:rPr>
                <w:rFonts w:eastAsia="Times New Roman" w:cs="Arial"/>
                <w:b/>
                <w:color w:val="000000"/>
                <w:szCs w:val="24"/>
                <w:lang w:eastAsia="en-GB"/>
              </w:rPr>
            </w:pPr>
            <w:r w:rsidRPr="00417591">
              <w:rPr>
                <w:rFonts w:eastAsia="Times New Roman" w:cs="Arial"/>
                <w:b/>
                <w:color w:val="000000"/>
                <w:szCs w:val="24"/>
                <w:lang w:eastAsia="en-GB"/>
              </w:rPr>
              <w:t>TOTAL</w:t>
            </w:r>
          </w:p>
        </w:tc>
        <w:tc>
          <w:tcPr>
            <w:tcW w:w="1123" w:type="dxa"/>
            <w:tcBorders>
              <w:top w:val="nil"/>
              <w:left w:val="nil"/>
              <w:bottom w:val="single" w:sz="4" w:space="0" w:color="auto"/>
              <w:right w:val="single" w:sz="4" w:space="0" w:color="auto"/>
            </w:tcBorders>
            <w:shd w:val="clear" w:color="auto" w:fill="auto"/>
            <w:noWrap/>
            <w:vAlign w:val="bottom"/>
          </w:tcPr>
          <w:p w:rsidR="001C627F" w:rsidRPr="001C627F" w:rsidRDefault="001C627F" w:rsidP="001C627F">
            <w:pPr>
              <w:jc w:val="right"/>
              <w:rPr>
                <w:rFonts w:eastAsia="Times New Roman" w:cs="Arial"/>
                <w:b/>
                <w:color w:val="000000"/>
                <w:szCs w:val="24"/>
                <w:lang w:eastAsia="en-GB"/>
              </w:rPr>
            </w:pPr>
            <w:r w:rsidRPr="001C627F">
              <w:rPr>
                <w:rFonts w:eastAsia="Times New Roman" w:cs="Arial"/>
                <w:b/>
                <w:color w:val="000000"/>
                <w:szCs w:val="24"/>
                <w:lang w:eastAsia="en-GB"/>
              </w:rPr>
              <w:t>524</w:t>
            </w:r>
          </w:p>
        </w:tc>
        <w:tc>
          <w:tcPr>
            <w:tcW w:w="1497" w:type="dxa"/>
            <w:tcBorders>
              <w:top w:val="nil"/>
              <w:left w:val="nil"/>
              <w:bottom w:val="single" w:sz="4" w:space="0" w:color="auto"/>
              <w:right w:val="single" w:sz="4" w:space="0" w:color="auto"/>
            </w:tcBorders>
            <w:shd w:val="clear" w:color="auto" w:fill="auto"/>
            <w:noWrap/>
            <w:vAlign w:val="bottom"/>
          </w:tcPr>
          <w:p w:rsidR="001C627F" w:rsidRPr="001C627F" w:rsidRDefault="001C627F" w:rsidP="001C627F">
            <w:pPr>
              <w:jc w:val="right"/>
              <w:rPr>
                <w:rFonts w:eastAsia="Times New Roman" w:cs="Arial"/>
                <w:b/>
                <w:color w:val="000000"/>
                <w:szCs w:val="24"/>
                <w:lang w:eastAsia="en-GB"/>
              </w:rPr>
            </w:pPr>
            <w:r>
              <w:rPr>
                <w:rFonts w:eastAsia="Times New Roman" w:cs="Arial"/>
                <w:b/>
                <w:color w:val="000000"/>
                <w:szCs w:val="24"/>
                <w:lang w:eastAsia="en-GB"/>
              </w:rPr>
              <w:t>1,453</w:t>
            </w:r>
          </w:p>
        </w:tc>
        <w:tc>
          <w:tcPr>
            <w:tcW w:w="1536" w:type="dxa"/>
            <w:tcBorders>
              <w:top w:val="nil"/>
              <w:left w:val="nil"/>
              <w:bottom w:val="single" w:sz="4" w:space="0" w:color="auto"/>
              <w:right w:val="single" w:sz="4" w:space="0" w:color="auto"/>
            </w:tcBorders>
            <w:shd w:val="clear" w:color="auto" w:fill="auto"/>
            <w:noWrap/>
            <w:vAlign w:val="bottom"/>
          </w:tcPr>
          <w:p w:rsidR="001C627F" w:rsidRPr="001C627F" w:rsidRDefault="001C627F" w:rsidP="001C627F">
            <w:pPr>
              <w:jc w:val="right"/>
              <w:rPr>
                <w:rFonts w:eastAsia="Times New Roman" w:cs="Arial"/>
                <w:b/>
                <w:color w:val="000000"/>
                <w:szCs w:val="24"/>
                <w:lang w:eastAsia="en-GB"/>
              </w:rPr>
            </w:pPr>
            <w:r>
              <w:rPr>
                <w:rFonts w:eastAsia="Times New Roman" w:cs="Arial"/>
                <w:b/>
                <w:color w:val="000000"/>
                <w:szCs w:val="24"/>
                <w:lang w:eastAsia="en-GB"/>
              </w:rPr>
              <w:t>3,761</w:t>
            </w:r>
          </w:p>
        </w:tc>
        <w:tc>
          <w:tcPr>
            <w:tcW w:w="1016" w:type="dxa"/>
            <w:tcBorders>
              <w:top w:val="nil"/>
              <w:left w:val="nil"/>
              <w:bottom w:val="single" w:sz="4" w:space="0" w:color="auto"/>
              <w:right w:val="single" w:sz="4" w:space="0" w:color="auto"/>
            </w:tcBorders>
            <w:shd w:val="clear" w:color="auto" w:fill="auto"/>
            <w:noWrap/>
            <w:vAlign w:val="bottom"/>
          </w:tcPr>
          <w:p w:rsidR="001C627F" w:rsidRPr="001C627F" w:rsidRDefault="001C627F" w:rsidP="001C627F">
            <w:pPr>
              <w:jc w:val="right"/>
              <w:rPr>
                <w:rFonts w:eastAsia="Times New Roman" w:cs="Arial"/>
                <w:b/>
                <w:color w:val="000000"/>
                <w:szCs w:val="24"/>
                <w:lang w:eastAsia="en-GB"/>
              </w:rPr>
            </w:pPr>
            <w:r>
              <w:rPr>
                <w:rFonts w:eastAsia="Times New Roman" w:cs="Arial"/>
                <w:b/>
                <w:color w:val="000000"/>
                <w:szCs w:val="24"/>
                <w:lang w:eastAsia="en-GB"/>
              </w:rPr>
              <w:t>5,737</w:t>
            </w:r>
          </w:p>
        </w:tc>
        <w:tc>
          <w:tcPr>
            <w:tcW w:w="960" w:type="dxa"/>
            <w:tcBorders>
              <w:top w:val="nil"/>
              <w:left w:val="nil"/>
              <w:bottom w:val="single" w:sz="4" w:space="0" w:color="auto"/>
              <w:right w:val="single" w:sz="4" w:space="0" w:color="auto"/>
            </w:tcBorders>
            <w:shd w:val="clear" w:color="auto" w:fill="auto"/>
            <w:noWrap/>
            <w:vAlign w:val="bottom"/>
            <w:hideMark/>
          </w:tcPr>
          <w:p w:rsidR="001C627F" w:rsidRPr="001C627F" w:rsidRDefault="001C627F" w:rsidP="008F58CF">
            <w:pPr>
              <w:jc w:val="right"/>
              <w:rPr>
                <w:rFonts w:eastAsia="Times New Roman" w:cs="Arial"/>
                <w:b/>
                <w:color w:val="000000"/>
                <w:szCs w:val="24"/>
                <w:lang w:eastAsia="en-GB"/>
              </w:rPr>
            </w:pPr>
            <w:r w:rsidRPr="001C627F">
              <w:rPr>
                <w:rFonts w:eastAsia="Times New Roman" w:cs="Arial"/>
                <w:b/>
                <w:color w:val="000000"/>
                <w:szCs w:val="24"/>
                <w:lang w:eastAsia="en-GB"/>
              </w:rPr>
              <w:t>%</w:t>
            </w:r>
          </w:p>
        </w:tc>
      </w:tr>
    </w:tbl>
    <w:p w:rsidR="001523D7" w:rsidRDefault="001523D7" w:rsidP="00487DFF">
      <w:pPr>
        <w:spacing w:after="120"/>
        <w:rPr>
          <w:sz w:val="16"/>
          <w:szCs w:val="16"/>
        </w:rPr>
      </w:pPr>
    </w:p>
    <w:p w:rsidR="00487DFF" w:rsidRPr="00487DFF" w:rsidRDefault="00487DFF" w:rsidP="00487DFF">
      <w:pPr>
        <w:spacing w:after="120"/>
        <w:rPr>
          <w:sz w:val="16"/>
          <w:szCs w:val="16"/>
        </w:rPr>
      </w:pPr>
      <w:r>
        <w:rPr>
          <w:sz w:val="16"/>
          <w:szCs w:val="16"/>
        </w:rPr>
        <w:t>*</w:t>
      </w:r>
      <w:r w:rsidRPr="00487DFF">
        <w:rPr>
          <w:sz w:val="16"/>
          <w:szCs w:val="16"/>
        </w:rPr>
        <w:t xml:space="preserve">The </w:t>
      </w:r>
      <w:r w:rsidRPr="00487DFF">
        <w:rPr>
          <w:i/>
          <w:sz w:val="16"/>
          <w:szCs w:val="16"/>
        </w:rPr>
        <w:t>Primary Support Reason</w:t>
      </w:r>
      <w:r w:rsidRPr="00487DFF">
        <w:rPr>
          <w:sz w:val="16"/>
          <w:szCs w:val="16"/>
        </w:rPr>
        <w:t xml:space="preserve"> for individual’s receiving Long Term Adult Social Care and Support is key information recorded on Bradford’s new Integrated Digital Care Records system, which went live in August 2016. It is anticipated that this will improve the reporting of this data from 2016-17 onwards.</w:t>
      </w:r>
    </w:p>
    <w:p w:rsidR="009D5954" w:rsidRDefault="009D5954" w:rsidP="00417591"/>
    <w:sectPr w:rsidR="009D5954" w:rsidSect="00856B71">
      <w:type w:val="continuous"/>
      <w:pgSz w:w="11906" w:h="16838"/>
      <w:pgMar w:top="-582" w:right="991" w:bottom="851" w:left="851" w:header="708"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28C" w:rsidRDefault="00A6128C" w:rsidP="006863D0">
      <w:r>
        <w:separator/>
      </w:r>
    </w:p>
  </w:endnote>
  <w:endnote w:type="continuationSeparator" w:id="0">
    <w:p w:rsidR="00A6128C" w:rsidRDefault="00A6128C" w:rsidP="0068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508945"/>
      <w:docPartObj>
        <w:docPartGallery w:val="Page Numbers (Bottom of Page)"/>
        <w:docPartUnique/>
      </w:docPartObj>
    </w:sdtPr>
    <w:sdtEndPr/>
    <w:sdtContent>
      <w:sdt>
        <w:sdtPr>
          <w:id w:val="-1768309132"/>
          <w:docPartObj>
            <w:docPartGallery w:val="Page Numbers (Top of Page)"/>
            <w:docPartUnique/>
          </w:docPartObj>
        </w:sdtPr>
        <w:sdtEndPr/>
        <w:sdtContent>
          <w:p w:rsidR="00080009" w:rsidRDefault="0008000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7F67FD">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F67FD">
              <w:rPr>
                <w:b/>
                <w:bCs/>
                <w:noProof/>
              </w:rPr>
              <w:t>6</w:t>
            </w:r>
            <w:r>
              <w:rPr>
                <w:b/>
                <w:bCs/>
                <w:szCs w:val="24"/>
              </w:rPr>
              <w:fldChar w:fldCharType="end"/>
            </w:r>
          </w:p>
        </w:sdtContent>
      </w:sdt>
    </w:sdtContent>
  </w:sdt>
  <w:p w:rsidR="00080009" w:rsidRDefault="00080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23276"/>
      <w:docPartObj>
        <w:docPartGallery w:val="Page Numbers (Bottom of Page)"/>
        <w:docPartUnique/>
      </w:docPartObj>
    </w:sdtPr>
    <w:sdtEndPr/>
    <w:sdtContent>
      <w:sdt>
        <w:sdtPr>
          <w:id w:val="-1669238322"/>
          <w:docPartObj>
            <w:docPartGallery w:val="Page Numbers (Top of Page)"/>
            <w:docPartUnique/>
          </w:docPartObj>
        </w:sdtPr>
        <w:sdtEndPr/>
        <w:sdtContent>
          <w:p w:rsidR="00080009" w:rsidRDefault="0008000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1046F">
              <w:rPr>
                <w:b/>
                <w:bCs/>
                <w:noProof/>
              </w:rPr>
              <w:t>6</w:t>
            </w:r>
            <w:r>
              <w:rPr>
                <w:b/>
                <w:bCs/>
                <w:szCs w:val="24"/>
              </w:rPr>
              <w:fldChar w:fldCharType="end"/>
            </w:r>
          </w:p>
        </w:sdtContent>
      </w:sdt>
    </w:sdtContent>
  </w:sdt>
  <w:p w:rsidR="00080009" w:rsidRPr="0014797B" w:rsidRDefault="00080009" w:rsidP="00147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28C" w:rsidRDefault="00A6128C" w:rsidP="006863D0">
      <w:r>
        <w:separator/>
      </w:r>
    </w:p>
  </w:footnote>
  <w:footnote w:type="continuationSeparator" w:id="0">
    <w:p w:rsidR="00A6128C" w:rsidRDefault="00A6128C" w:rsidP="00686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09" w:rsidRDefault="00080009">
    <w:pPr>
      <w:pStyle w:val="Header"/>
    </w:pPr>
  </w:p>
  <w:p w:rsidR="00080009" w:rsidRDefault="00080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79BD"/>
    <w:multiLevelType w:val="hybridMultilevel"/>
    <w:tmpl w:val="2E18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1026CB"/>
    <w:multiLevelType w:val="hybridMultilevel"/>
    <w:tmpl w:val="AAE6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526561"/>
    <w:multiLevelType w:val="hybridMultilevel"/>
    <w:tmpl w:val="1850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D46DFD"/>
    <w:multiLevelType w:val="hybridMultilevel"/>
    <w:tmpl w:val="9880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D0"/>
    <w:rsid w:val="000601AB"/>
    <w:rsid w:val="00060CEB"/>
    <w:rsid w:val="00080009"/>
    <w:rsid w:val="0009071F"/>
    <w:rsid w:val="00097DB0"/>
    <w:rsid w:val="000C1BE6"/>
    <w:rsid w:val="001006F3"/>
    <w:rsid w:val="001151EA"/>
    <w:rsid w:val="00131F0B"/>
    <w:rsid w:val="0014797B"/>
    <w:rsid w:val="001523D7"/>
    <w:rsid w:val="001C627F"/>
    <w:rsid w:val="001E0EFD"/>
    <w:rsid w:val="001E7EA0"/>
    <w:rsid w:val="001F713F"/>
    <w:rsid w:val="00255C22"/>
    <w:rsid w:val="002614AF"/>
    <w:rsid w:val="00266278"/>
    <w:rsid w:val="0028448E"/>
    <w:rsid w:val="00291241"/>
    <w:rsid w:val="002B3C55"/>
    <w:rsid w:val="002F36C6"/>
    <w:rsid w:val="00330D01"/>
    <w:rsid w:val="003442D3"/>
    <w:rsid w:val="003447CC"/>
    <w:rsid w:val="0035190D"/>
    <w:rsid w:val="00383B71"/>
    <w:rsid w:val="003F6B7C"/>
    <w:rsid w:val="00417591"/>
    <w:rsid w:val="004236C1"/>
    <w:rsid w:val="0045737C"/>
    <w:rsid w:val="0047275F"/>
    <w:rsid w:val="00484A05"/>
    <w:rsid w:val="00487DFF"/>
    <w:rsid w:val="004C5CCA"/>
    <w:rsid w:val="004E41D1"/>
    <w:rsid w:val="004F1573"/>
    <w:rsid w:val="00506A6F"/>
    <w:rsid w:val="005435AD"/>
    <w:rsid w:val="00544F70"/>
    <w:rsid w:val="00557091"/>
    <w:rsid w:val="005664A4"/>
    <w:rsid w:val="005B3401"/>
    <w:rsid w:val="00664804"/>
    <w:rsid w:val="0066530B"/>
    <w:rsid w:val="006863D0"/>
    <w:rsid w:val="00686EDC"/>
    <w:rsid w:val="006A4092"/>
    <w:rsid w:val="006C2672"/>
    <w:rsid w:val="006C6EFF"/>
    <w:rsid w:val="00701863"/>
    <w:rsid w:val="00714616"/>
    <w:rsid w:val="007A0612"/>
    <w:rsid w:val="007A1DD5"/>
    <w:rsid w:val="007B3612"/>
    <w:rsid w:val="007C2F9E"/>
    <w:rsid w:val="007C391E"/>
    <w:rsid w:val="007F125D"/>
    <w:rsid w:val="007F67FD"/>
    <w:rsid w:val="008015ED"/>
    <w:rsid w:val="008241A6"/>
    <w:rsid w:val="00833459"/>
    <w:rsid w:val="00855640"/>
    <w:rsid w:val="00856B71"/>
    <w:rsid w:val="008956B1"/>
    <w:rsid w:val="008B1D5F"/>
    <w:rsid w:val="008C5F3E"/>
    <w:rsid w:val="008D5636"/>
    <w:rsid w:val="00905BCA"/>
    <w:rsid w:val="00920C33"/>
    <w:rsid w:val="00965063"/>
    <w:rsid w:val="009D0210"/>
    <w:rsid w:val="009D5954"/>
    <w:rsid w:val="009D73B1"/>
    <w:rsid w:val="00A15A07"/>
    <w:rsid w:val="00A6128C"/>
    <w:rsid w:val="00A84577"/>
    <w:rsid w:val="00A86754"/>
    <w:rsid w:val="00A91129"/>
    <w:rsid w:val="00AB00D1"/>
    <w:rsid w:val="00AE3812"/>
    <w:rsid w:val="00B14426"/>
    <w:rsid w:val="00B16E9A"/>
    <w:rsid w:val="00B24888"/>
    <w:rsid w:val="00B35F5B"/>
    <w:rsid w:val="00B47FC8"/>
    <w:rsid w:val="00B623B5"/>
    <w:rsid w:val="00B727EF"/>
    <w:rsid w:val="00BA4041"/>
    <w:rsid w:val="00BD073A"/>
    <w:rsid w:val="00BE1659"/>
    <w:rsid w:val="00BE4475"/>
    <w:rsid w:val="00BE744C"/>
    <w:rsid w:val="00C1046F"/>
    <w:rsid w:val="00C11CB4"/>
    <w:rsid w:val="00C410F5"/>
    <w:rsid w:val="00CA49C9"/>
    <w:rsid w:val="00CA54F8"/>
    <w:rsid w:val="00CA640C"/>
    <w:rsid w:val="00CA6F39"/>
    <w:rsid w:val="00CB0275"/>
    <w:rsid w:val="00CB27E9"/>
    <w:rsid w:val="00CC181D"/>
    <w:rsid w:val="00CF75AD"/>
    <w:rsid w:val="00D51E35"/>
    <w:rsid w:val="00D56EE9"/>
    <w:rsid w:val="00D6213E"/>
    <w:rsid w:val="00D97E43"/>
    <w:rsid w:val="00DA0D98"/>
    <w:rsid w:val="00DF2CD4"/>
    <w:rsid w:val="00E0230B"/>
    <w:rsid w:val="00E1226B"/>
    <w:rsid w:val="00E96835"/>
    <w:rsid w:val="00EA184B"/>
    <w:rsid w:val="00ED0484"/>
    <w:rsid w:val="00F02BAD"/>
    <w:rsid w:val="00F20A8C"/>
    <w:rsid w:val="00F2216A"/>
    <w:rsid w:val="00F36D63"/>
    <w:rsid w:val="00F86A02"/>
    <w:rsid w:val="00F9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0B"/>
    <w:rPr>
      <w:rFonts w:ascii="Arial" w:hAnsi="Arial"/>
      <w:sz w:val="24"/>
    </w:rPr>
  </w:style>
  <w:style w:type="paragraph" w:styleId="Heading1">
    <w:name w:val="heading 1"/>
    <w:basedOn w:val="Normal"/>
    <w:next w:val="Normal"/>
    <w:link w:val="Heading1Char"/>
    <w:uiPriority w:val="9"/>
    <w:qFormat/>
    <w:rsid w:val="00E96835"/>
    <w:pPr>
      <w:keepNext/>
      <w:keepLines/>
      <w:outlineLvl w:val="0"/>
    </w:pPr>
    <w:rPr>
      <w:rFonts w:eastAsiaTheme="majorEastAsia" w:cstheme="majorBidi"/>
      <w:bCs/>
      <w:color w:val="4F81BD" w:themeColor="accent1"/>
      <w:spacing w:val="20"/>
      <w:sz w:val="32"/>
      <w:szCs w:val="28"/>
    </w:rPr>
  </w:style>
  <w:style w:type="paragraph" w:styleId="Heading2">
    <w:name w:val="heading 2"/>
    <w:basedOn w:val="Normal"/>
    <w:next w:val="Normal"/>
    <w:link w:val="Heading2Char"/>
    <w:uiPriority w:val="9"/>
    <w:semiHidden/>
    <w:unhideWhenUsed/>
    <w:qFormat/>
    <w:rsid w:val="00E1226B"/>
    <w:pPr>
      <w:keepNext/>
      <w:keepLines/>
      <w:spacing w:before="12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E1226B"/>
    <w:pPr>
      <w:keepNext/>
      <w:keepLines/>
      <w:spacing w:before="20"/>
      <w:outlineLvl w:val="2"/>
    </w:pPr>
    <w:rPr>
      <w:rFonts w:asciiTheme="majorHAnsi" w:eastAsiaTheme="majorEastAsia" w:hAnsiTheme="majorHAnsi" w:cstheme="majorBidi"/>
      <w:bCs/>
      <w:color w:val="1F497D" w:themeColor="text2"/>
      <w:spacing w:val="14"/>
    </w:rPr>
  </w:style>
  <w:style w:type="paragraph" w:styleId="Heading4">
    <w:name w:val="heading 4"/>
    <w:basedOn w:val="Normal"/>
    <w:next w:val="Normal"/>
    <w:link w:val="Heading4Char"/>
    <w:uiPriority w:val="9"/>
    <w:semiHidden/>
    <w:unhideWhenUsed/>
    <w:qFormat/>
    <w:rsid w:val="00E1226B"/>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E1226B"/>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1226B"/>
    <w:pPr>
      <w:keepNext/>
      <w:keepLines/>
      <w:spacing w:before="20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1226B"/>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1226B"/>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1226B"/>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63D0"/>
    <w:pPr>
      <w:tabs>
        <w:tab w:val="center" w:pos="4513"/>
        <w:tab w:val="right" w:pos="9026"/>
      </w:tabs>
    </w:pPr>
  </w:style>
  <w:style w:type="character" w:customStyle="1" w:styleId="HeaderChar">
    <w:name w:val="Header Char"/>
    <w:basedOn w:val="DefaultParagraphFont"/>
    <w:link w:val="Header"/>
    <w:uiPriority w:val="99"/>
    <w:rsid w:val="006863D0"/>
  </w:style>
  <w:style w:type="paragraph" w:styleId="Footer">
    <w:name w:val="footer"/>
    <w:basedOn w:val="Normal"/>
    <w:link w:val="FooterChar"/>
    <w:uiPriority w:val="99"/>
    <w:unhideWhenUsed/>
    <w:rsid w:val="006863D0"/>
    <w:pPr>
      <w:tabs>
        <w:tab w:val="center" w:pos="4513"/>
        <w:tab w:val="right" w:pos="9026"/>
      </w:tabs>
    </w:pPr>
  </w:style>
  <w:style w:type="character" w:customStyle="1" w:styleId="FooterChar">
    <w:name w:val="Footer Char"/>
    <w:basedOn w:val="DefaultParagraphFont"/>
    <w:link w:val="Footer"/>
    <w:uiPriority w:val="99"/>
    <w:rsid w:val="006863D0"/>
  </w:style>
  <w:style w:type="paragraph" w:styleId="BalloonText">
    <w:name w:val="Balloon Text"/>
    <w:basedOn w:val="Normal"/>
    <w:link w:val="BalloonTextChar"/>
    <w:uiPriority w:val="99"/>
    <w:semiHidden/>
    <w:unhideWhenUsed/>
    <w:rsid w:val="006863D0"/>
    <w:rPr>
      <w:rFonts w:ascii="Tahoma" w:hAnsi="Tahoma" w:cs="Tahoma"/>
      <w:sz w:val="16"/>
      <w:szCs w:val="16"/>
    </w:rPr>
  </w:style>
  <w:style w:type="character" w:customStyle="1" w:styleId="BalloonTextChar">
    <w:name w:val="Balloon Text Char"/>
    <w:basedOn w:val="DefaultParagraphFont"/>
    <w:link w:val="BalloonText"/>
    <w:uiPriority w:val="99"/>
    <w:semiHidden/>
    <w:rsid w:val="006863D0"/>
    <w:rPr>
      <w:rFonts w:ascii="Tahoma" w:hAnsi="Tahoma" w:cs="Tahoma"/>
      <w:sz w:val="16"/>
      <w:szCs w:val="16"/>
    </w:rPr>
  </w:style>
  <w:style w:type="character" w:styleId="Hyperlink">
    <w:name w:val="Hyperlink"/>
    <w:basedOn w:val="DefaultParagraphFont"/>
    <w:uiPriority w:val="99"/>
    <w:unhideWhenUsed/>
    <w:rsid w:val="003447CC"/>
    <w:rPr>
      <w:color w:val="0000FF" w:themeColor="hyperlink"/>
      <w:u w:val="single"/>
    </w:rPr>
  </w:style>
  <w:style w:type="paragraph" w:styleId="ListParagraph">
    <w:name w:val="List Paragraph"/>
    <w:basedOn w:val="Normal"/>
    <w:uiPriority w:val="34"/>
    <w:qFormat/>
    <w:rsid w:val="00E1226B"/>
    <w:pPr>
      <w:ind w:left="720" w:hanging="288"/>
      <w:contextualSpacing/>
    </w:pPr>
    <w:rPr>
      <w:color w:val="1F497D" w:themeColor="text2"/>
    </w:rPr>
  </w:style>
  <w:style w:type="paragraph" w:styleId="Title">
    <w:name w:val="Title"/>
    <w:basedOn w:val="Normal"/>
    <w:next w:val="Normal"/>
    <w:link w:val="TitleChar"/>
    <w:uiPriority w:val="10"/>
    <w:qFormat/>
    <w:rsid w:val="00E96835"/>
    <w:pPr>
      <w:spacing w:after="120"/>
      <w:contextualSpacing/>
    </w:pPr>
    <w:rPr>
      <w:rFonts w:eastAsiaTheme="majorEastAsia" w:cstheme="majorBidi"/>
      <w:color w:val="1F497D" w:themeColor="text2"/>
      <w:spacing w:val="30"/>
      <w:kern w:val="28"/>
      <w:sz w:val="96"/>
      <w:szCs w:val="52"/>
    </w:rPr>
  </w:style>
  <w:style w:type="character" w:customStyle="1" w:styleId="TitleChar">
    <w:name w:val="Title Char"/>
    <w:basedOn w:val="DefaultParagraphFont"/>
    <w:link w:val="Title"/>
    <w:uiPriority w:val="10"/>
    <w:rsid w:val="00E96835"/>
    <w:rPr>
      <w:rFonts w:ascii="Arial" w:eastAsiaTheme="majorEastAsia" w:hAnsi="Arial" w:cstheme="majorBidi"/>
      <w:color w:val="1F497D" w:themeColor="text2"/>
      <w:spacing w:val="30"/>
      <w:kern w:val="28"/>
      <w:sz w:val="96"/>
      <w:szCs w:val="52"/>
    </w:rPr>
  </w:style>
  <w:style w:type="character" w:customStyle="1" w:styleId="Heading1Char">
    <w:name w:val="Heading 1 Char"/>
    <w:basedOn w:val="DefaultParagraphFont"/>
    <w:link w:val="Heading1"/>
    <w:uiPriority w:val="9"/>
    <w:rsid w:val="00E96835"/>
    <w:rPr>
      <w:rFonts w:ascii="Arial" w:eastAsiaTheme="majorEastAsia" w:hAnsi="Arial" w:cstheme="majorBidi"/>
      <w:bCs/>
      <w:color w:val="4F81BD" w:themeColor="accent1"/>
      <w:spacing w:val="20"/>
      <w:sz w:val="32"/>
      <w:szCs w:val="28"/>
    </w:rPr>
  </w:style>
  <w:style w:type="character" w:customStyle="1" w:styleId="Heading2Char">
    <w:name w:val="Heading 2 Char"/>
    <w:basedOn w:val="DefaultParagraphFont"/>
    <w:link w:val="Heading2"/>
    <w:uiPriority w:val="9"/>
    <w:semiHidden/>
    <w:rsid w:val="00E1226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E1226B"/>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E1226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1226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1226B"/>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1226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1226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1226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B14426"/>
    <w:rPr>
      <w:rFonts w:eastAsiaTheme="minorEastAsia"/>
      <w:bCs/>
      <w:spacing w:val="6"/>
      <w:sz w:val="22"/>
      <w:szCs w:val="18"/>
      <w:lang w:bidi="hi-IN"/>
    </w:rPr>
  </w:style>
  <w:style w:type="paragraph" w:styleId="Subtitle">
    <w:name w:val="Subtitle"/>
    <w:basedOn w:val="Normal"/>
    <w:next w:val="Normal"/>
    <w:link w:val="SubtitleChar"/>
    <w:uiPriority w:val="11"/>
    <w:qFormat/>
    <w:rsid w:val="00E1226B"/>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E1226B"/>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E1226B"/>
    <w:rPr>
      <w:b w:val="0"/>
      <w:bCs/>
      <w:i/>
      <w:color w:val="1F497D" w:themeColor="text2"/>
    </w:rPr>
  </w:style>
  <w:style w:type="character" w:styleId="Emphasis">
    <w:name w:val="Emphasis"/>
    <w:basedOn w:val="DefaultParagraphFont"/>
    <w:uiPriority w:val="20"/>
    <w:qFormat/>
    <w:rsid w:val="00E1226B"/>
    <w:rPr>
      <w:b/>
      <w:i/>
      <w:iCs/>
    </w:rPr>
  </w:style>
  <w:style w:type="paragraph" w:styleId="NoSpacing">
    <w:name w:val="No Spacing"/>
    <w:link w:val="NoSpacingChar"/>
    <w:uiPriority w:val="1"/>
    <w:qFormat/>
    <w:rsid w:val="00E1226B"/>
  </w:style>
  <w:style w:type="character" w:customStyle="1" w:styleId="NoSpacingChar">
    <w:name w:val="No Spacing Char"/>
    <w:basedOn w:val="DefaultParagraphFont"/>
    <w:link w:val="NoSpacing"/>
    <w:uiPriority w:val="1"/>
    <w:rsid w:val="00E1226B"/>
  </w:style>
  <w:style w:type="paragraph" w:styleId="Quote">
    <w:name w:val="Quote"/>
    <w:basedOn w:val="Normal"/>
    <w:next w:val="Normal"/>
    <w:link w:val="QuoteChar"/>
    <w:uiPriority w:val="29"/>
    <w:qFormat/>
    <w:rsid w:val="00E1226B"/>
    <w:pPr>
      <w:spacing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E1226B"/>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E1226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E1226B"/>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E1226B"/>
    <w:rPr>
      <w:i/>
      <w:iCs/>
      <w:color w:val="000000"/>
    </w:rPr>
  </w:style>
  <w:style w:type="character" w:styleId="IntenseEmphasis">
    <w:name w:val="Intense Emphasis"/>
    <w:basedOn w:val="DefaultParagraphFont"/>
    <w:uiPriority w:val="21"/>
    <w:qFormat/>
    <w:rsid w:val="00E1226B"/>
    <w:rPr>
      <w:b/>
      <w:bCs/>
      <w:i/>
      <w:iCs/>
      <w:color w:val="4F81BD" w:themeColor="accent1"/>
    </w:rPr>
  </w:style>
  <w:style w:type="character" w:styleId="SubtleReference">
    <w:name w:val="Subtle Reference"/>
    <w:basedOn w:val="DefaultParagraphFont"/>
    <w:uiPriority w:val="31"/>
    <w:qFormat/>
    <w:rsid w:val="00E1226B"/>
    <w:rPr>
      <w:smallCaps/>
      <w:color w:val="000000"/>
      <w:u w:val="single"/>
    </w:rPr>
  </w:style>
  <w:style w:type="character" w:styleId="IntenseReference">
    <w:name w:val="Intense Reference"/>
    <w:basedOn w:val="DefaultParagraphFont"/>
    <w:uiPriority w:val="32"/>
    <w:qFormat/>
    <w:rsid w:val="00E1226B"/>
    <w:rPr>
      <w:b w:val="0"/>
      <w:bCs/>
      <w:smallCaps/>
      <w:color w:val="4F81BD" w:themeColor="accent1"/>
      <w:spacing w:val="5"/>
      <w:u w:val="single"/>
    </w:rPr>
  </w:style>
  <w:style w:type="character" w:styleId="BookTitle">
    <w:name w:val="Book Title"/>
    <w:basedOn w:val="DefaultParagraphFont"/>
    <w:uiPriority w:val="33"/>
    <w:qFormat/>
    <w:rsid w:val="00E1226B"/>
    <w:rPr>
      <w:b/>
      <w:bCs/>
      <w:caps/>
      <w:smallCaps w:val="0"/>
      <w:color w:val="1F497D" w:themeColor="text2"/>
      <w:spacing w:val="10"/>
    </w:rPr>
  </w:style>
  <w:style w:type="paragraph" w:styleId="TOCHeading">
    <w:name w:val="TOC Heading"/>
    <w:basedOn w:val="Heading1"/>
    <w:next w:val="Normal"/>
    <w:uiPriority w:val="39"/>
    <w:semiHidden/>
    <w:unhideWhenUsed/>
    <w:qFormat/>
    <w:rsid w:val="00E1226B"/>
    <w:pPr>
      <w:spacing w:before="480" w:line="264" w:lineRule="auto"/>
      <w:outlineLvl w:val="9"/>
    </w:pPr>
    <w:rPr>
      <w:b/>
    </w:rPr>
  </w:style>
  <w:style w:type="paragraph" w:customStyle="1" w:styleId="Default">
    <w:name w:val="Default"/>
    <w:rsid w:val="009D595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0B"/>
    <w:rPr>
      <w:rFonts w:ascii="Arial" w:hAnsi="Arial"/>
      <w:sz w:val="24"/>
    </w:rPr>
  </w:style>
  <w:style w:type="paragraph" w:styleId="Heading1">
    <w:name w:val="heading 1"/>
    <w:basedOn w:val="Normal"/>
    <w:next w:val="Normal"/>
    <w:link w:val="Heading1Char"/>
    <w:uiPriority w:val="9"/>
    <w:qFormat/>
    <w:rsid w:val="00E96835"/>
    <w:pPr>
      <w:keepNext/>
      <w:keepLines/>
      <w:outlineLvl w:val="0"/>
    </w:pPr>
    <w:rPr>
      <w:rFonts w:eastAsiaTheme="majorEastAsia" w:cstheme="majorBidi"/>
      <w:bCs/>
      <w:color w:val="4F81BD" w:themeColor="accent1"/>
      <w:spacing w:val="20"/>
      <w:sz w:val="32"/>
      <w:szCs w:val="28"/>
    </w:rPr>
  </w:style>
  <w:style w:type="paragraph" w:styleId="Heading2">
    <w:name w:val="heading 2"/>
    <w:basedOn w:val="Normal"/>
    <w:next w:val="Normal"/>
    <w:link w:val="Heading2Char"/>
    <w:uiPriority w:val="9"/>
    <w:semiHidden/>
    <w:unhideWhenUsed/>
    <w:qFormat/>
    <w:rsid w:val="00E1226B"/>
    <w:pPr>
      <w:keepNext/>
      <w:keepLines/>
      <w:spacing w:before="12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E1226B"/>
    <w:pPr>
      <w:keepNext/>
      <w:keepLines/>
      <w:spacing w:before="20"/>
      <w:outlineLvl w:val="2"/>
    </w:pPr>
    <w:rPr>
      <w:rFonts w:asciiTheme="majorHAnsi" w:eastAsiaTheme="majorEastAsia" w:hAnsiTheme="majorHAnsi" w:cstheme="majorBidi"/>
      <w:bCs/>
      <w:color w:val="1F497D" w:themeColor="text2"/>
      <w:spacing w:val="14"/>
    </w:rPr>
  </w:style>
  <w:style w:type="paragraph" w:styleId="Heading4">
    <w:name w:val="heading 4"/>
    <w:basedOn w:val="Normal"/>
    <w:next w:val="Normal"/>
    <w:link w:val="Heading4Char"/>
    <w:uiPriority w:val="9"/>
    <w:semiHidden/>
    <w:unhideWhenUsed/>
    <w:qFormat/>
    <w:rsid w:val="00E1226B"/>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E1226B"/>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1226B"/>
    <w:pPr>
      <w:keepNext/>
      <w:keepLines/>
      <w:spacing w:before="20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1226B"/>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1226B"/>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1226B"/>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63D0"/>
    <w:pPr>
      <w:tabs>
        <w:tab w:val="center" w:pos="4513"/>
        <w:tab w:val="right" w:pos="9026"/>
      </w:tabs>
    </w:pPr>
  </w:style>
  <w:style w:type="character" w:customStyle="1" w:styleId="HeaderChar">
    <w:name w:val="Header Char"/>
    <w:basedOn w:val="DefaultParagraphFont"/>
    <w:link w:val="Header"/>
    <w:uiPriority w:val="99"/>
    <w:rsid w:val="006863D0"/>
  </w:style>
  <w:style w:type="paragraph" w:styleId="Footer">
    <w:name w:val="footer"/>
    <w:basedOn w:val="Normal"/>
    <w:link w:val="FooterChar"/>
    <w:uiPriority w:val="99"/>
    <w:unhideWhenUsed/>
    <w:rsid w:val="006863D0"/>
    <w:pPr>
      <w:tabs>
        <w:tab w:val="center" w:pos="4513"/>
        <w:tab w:val="right" w:pos="9026"/>
      </w:tabs>
    </w:pPr>
  </w:style>
  <w:style w:type="character" w:customStyle="1" w:styleId="FooterChar">
    <w:name w:val="Footer Char"/>
    <w:basedOn w:val="DefaultParagraphFont"/>
    <w:link w:val="Footer"/>
    <w:uiPriority w:val="99"/>
    <w:rsid w:val="006863D0"/>
  </w:style>
  <w:style w:type="paragraph" w:styleId="BalloonText">
    <w:name w:val="Balloon Text"/>
    <w:basedOn w:val="Normal"/>
    <w:link w:val="BalloonTextChar"/>
    <w:uiPriority w:val="99"/>
    <w:semiHidden/>
    <w:unhideWhenUsed/>
    <w:rsid w:val="006863D0"/>
    <w:rPr>
      <w:rFonts w:ascii="Tahoma" w:hAnsi="Tahoma" w:cs="Tahoma"/>
      <w:sz w:val="16"/>
      <w:szCs w:val="16"/>
    </w:rPr>
  </w:style>
  <w:style w:type="character" w:customStyle="1" w:styleId="BalloonTextChar">
    <w:name w:val="Balloon Text Char"/>
    <w:basedOn w:val="DefaultParagraphFont"/>
    <w:link w:val="BalloonText"/>
    <w:uiPriority w:val="99"/>
    <w:semiHidden/>
    <w:rsid w:val="006863D0"/>
    <w:rPr>
      <w:rFonts w:ascii="Tahoma" w:hAnsi="Tahoma" w:cs="Tahoma"/>
      <w:sz w:val="16"/>
      <w:szCs w:val="16"/>
    </w:rPr>
  </w:style>
  <w:style w:type="character" w:styleId="Hyperlink">
    <w:name w:val="Hyperlink"/>
    <w:basedOn w:val="DefaultParagraphFont"/>
    <w:uiPriority w:val="99"/>
    <w:unhideWhenUsed/>
    <w:rsid w:val="003447CC"/>
    <w:rPr>
      <w:color w:val="0000FF" w:themeColor="hyperlink"/>
      <w:u w:val="single"/>
    </w:rPr>
  </w:style>
  <w:style w:type="paragraph" w:styleId="ListParagraph">
    <w:name w:val="List Paragraph"/>
    <w:basedOn w:val="Normal"/>
    <w:uiPriority w:val="34"/>
    <w:qFormat/>
    <w:rsid w:val="00E1226B"/>
    <w:pPr>
      <w:ind w:left="720" w:hanging="288"/>
      <w:contextualSpacing/>
    </w:pPr>
    <w:rPr>
      <w:color w:val="1F497D" w:themeColor="text2"/>
    </w:rPr>
  </w:style>
  <w:style w:type="paragraph" w:styleId="Title">
    <w:name w:val="Title"/>
    <w:basedOn w:val="Normal"/>
    <w:next w:val="Normal"/>
    <w:link w:val="TitleChar"/>
    <w:uiPriority w:val="10"/>
    <w:qFormat/>
    <w:rsid w:val="00E96835"/>
    <w:pPr>
      <w:spacing w:after="120"/>
      <w:contextualSpacing/>
    </w:pPr>
    <w:rPr>
      <w:rFonts w:eastAsiaTheme="majorEastAsia" w:cstheme="majorBidi"/>
      <w:color w:val="1F497D" w:themeColor="text2"/>
      <w:spacing w:val="30"/>
      <w:kern w:val="28"/>
      <w:sz w:val="96"/>
      <w:szCs w:val="52"/>
    </w:rPr>
  </w:style>
  <w:style w:type="character" w:customStyle="1" w:styleId="TitleChar">
    <w:name w:val="Title Char"/>
    <w:basedOn w:val="DefaultParagraphFont"/>
    <w:link w:val="Title"/>
    <w:uiPriority w:val="10"/>
    <w:rsid w:val="00E96835"/>
    <w:rPr>
      <w:rFonts w:ascii="Arial" w:eastAsiaTheme="majorEastAsia" w:hAnsi="Arial" w:cstheme="majorBidi"/>
      <w:color w:val="1F497D" w:themeColor="text2"/>
      <w:spacing w:val="30"/>
      <w:kern w:val="28"/>
      <w:sz w:val="96"/>
      <w:szCs w:val="52"/>
    </w:rPr>
  </w:style>
  <w:style w:type="character" w:customStyle="1" w:styleId="Heading1Char">
    <w:name w:val="Heading 1 Char"/>
    <w:basedOn w:val="DefaultParagraphFont"/>
    <w:link w:val="Heading1"/>
    <w:uiPriority w:val="9"/>
    <w:rsid w:val="00E96835"/>
    <w:rPr>
      <w:rFonts w:ascii="Arial" w:eastAsiaTheme="majorEastAsia" w:hAnsi="Arial" w:cstheme="majorBidi"/>
      <w:bCs/>
      <w:color w:val="4F81BD" w:themeColor="accent1"/>
      <w:spacing w:val="20"/>
      <w:sz w:val="32"/>
      <w:szCs w:val="28"/>
    </w:rPr>
  </w:style>
  <w:style w:type="character" w:customStyle="1" w:styleId="Heading2Char">
    <w:name w:val="Heading 2 Char"/>
    <w:basedOn w:val="DefaultParagraphFont"/>
    <w:link w:val="Heading2"/>
    <w:uiPriority w:val="9"/>
    <w:semiHidden/>
    <w:rsid w:val="00E1226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E1226B"/>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E1226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1226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1226B"/>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1226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1226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1226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B14426"/>
    <w:rPr>
      <w:rFonts w:eastAsiaTheme="minorEastAsia"/>
      <w:bCs/>
      <w:spacing w:val="6"/>
      <w:sz w:val="22"/>
      <w:szCs w:val="18"/>
      <w:lang w:bidi="hi-IN"/>
    </w:rPr>
  </w:style>
  <w:style w:type="paragraph" w:styleId="Subtitle">
    <w:name w:val="Subtitle"/>
    <w:basedOn w:val="Normal"/>
    <w:next w:val="Normal"/>
    <w:link w:val="SubtitleChar"/>
    <w:uiPriority w:val="11"/>
    <w:qFormat/>
    <w:rsid w:val="00E1226B"/>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E1226B"/>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E1226B"/>
    <w:rPr>
      <w:b w:val="0"/>
      <w:bCs/>
      <w:i/>
      <w:color w:val="1F497D" w:themeColor="text2"/>
    </w:rPr>
  </w:style>
  <w:style w:type="character" w:styleId="Emphasis">
    <w:name w:val="Emphasis"/>
    <w:basedOn w:val="DefaultParagraphFont"/>
    <w:uiPriority w:val="20"/>
    <w:qFormat/>
    <w:rsid w:val="00E1226B"/>
    <w:rPr>
      <w:b/>
      <w:i/>
      <w:iCs/>
    </w:rPr>
  </w:style>
  <w:style w:type="paragraph" w:styleId="NoSpacing">
    <w:name w:val="No Spacing"/>
    <w:link w:val="NoSpacingChar"/>
    <w:uiPriority w:val="1"/>
    <w:qFormat/>
    <w:rsid w:val="00E1226B"/>
  </w:style>
  <w:style w:type="character" w:customStyle="1" w:styleId="NoSpacingChar">
    <w:name w:val="No Spacing Char"/>
    <w:basedOn w:val="DefaultParagraphFont"/>
    <w:link w:val="NoSpacing"/>
    <w:uiPriority w:val="1"/>
    <w:rsid w:val="00E1226B"/>
  </w:style>
  <w:style w:type="paragraph" w:styleId="Quote">
    <w:name w:val="Quote"/>
    <w:basedOn w:val="Normal"/>
    <w:next w:val="Normal"/>
    <w:link w:val="QuoteChar"/>
    <w:uiPriority w:val="29"/>
    <w:qFormat/>
    <w:rsid w:val="00E1226B"/>
    <w:pPr>
      <w:spacing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E1226B"/>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E1226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E1226B"/>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E1226B"/>
    <w:rPr>
      <w:i/>
      <w:iCs/>
      <w:color w:val="000000"/>
    </w:rPr>
  </w:style>
  <w:style w:type="character" w:styleId="IntenseEmphasis">
    <w:name w:val="Intense Emphasis"/>
    <w:basedOn w:val="DefaultParagraphFont"/>
    <w:uiPriority w:val="21"/>
    <w:qFormat/>
    <w:rsid w:val="00E1226B"/>
    <w:rPr>
      <w:b/>
      <w:bCs/>
      <w:i/>
      <w:iCs/>
      <w:color w:val="4F81BD" w:themeColor="accent1"/>
    </w:rPr>
  </w:style>
  <w:style w:type="character" w:styleId="SubtleReference">
    <w:name w:val="Subtle Reference"/>
    <w:basedOn w:val="DefaultParagraphFont"/>
    <w:uiPriority w:val="31"/>
    <w:qFormat/>
    <w:rsid w:val="00E1226B"/>
    <w:rPr>
      <w:smallCaps/>
      <w:color w:val="000000"/>
      <w:u w:val="single"/>
    </w:rPr>
  </w:style>
  <w:style w:type="character" w:styleId="IntenseReference">
    <w:name w:val="Intense Reference"/>
    <w:basedOn w:val="DefaultParagraphFont"/>
    <w:uiPriority w:val="32"/>
    <w:qFormat/>
    <w:rsid w:val="00E1226B"/>
    <w:rPr>
      <w:b w:val="0"/>
      <w:bCs/>
      <w:smallCaps/>
      <w:color w:val="4F81BD" w:themeColor="accent1"/>
      <w:spacing w:val="5"/>
      <w:u w:val="single"/>
    </w:rPr>
  </w:style>
  <w:style w:type="character" w:styleId="BookTitle">
    <w:name w:val="Book Title"/>
    <w:basedOn w:val="DefaultParagraphFont"/>
    <w:uiPriority w:val="33"/>
    <w:qFormat/>
    <w:rsid w:val="00E1226B"/>
    <w:rPr>
      <w:b/>
      <w:bCs/>
      <w:caps/>
      <w:smallCaps w:val="0"/>
      <w:color w:val="1F497D" w:themeColor="text2"/>
      <w:spacing w:val="10"/>
    </w:rPr>
  </w:style>
  <w:style w:type="paragraph" w:styleId="TOCHeading">
    <w:name w:val="TOC Heading"/>
    <w:basedOn w:val="Heading1"/>
    <w:next w:val="Normal"/>
    <w:uiPriority w:val="39"/>
    <w:semiHidden/>
    <w:unhideWhenUsed/>
    <w:qFormat/>
    <w:rsid w:val="00E1226B"/>
    <w:pPr>
      <w:spacing w:before="480" w:line="264" w:lineRule="auto"/>
      <w:outlineLvl w:val="9"/>
    </w:pPr>
    <w:rPr>
      <w:b/>
    </w:rPr>
  </w:style>
  <w:style w:type="paragraph" w:customStyle="1" w:styleId="Default">
    <w:name w:val="Default"/>
    <w:rsid w:val="009D595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0F9FC-7BC3-4CD9-A75C-3EA470B2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11865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Bradford MDC</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ridleyw</dc:creator>
  <cp:lastModifiedBy>Mark Widdowson</cp:lastModifiedBy>
  <cp:revision>2</cp:revision>
  <cp:lastPrinted>2016-01-28T09:53:00Z</cp:lastPrinted>
  <dcterms:created xsi:type="dcterms:W3CDTF">2016-11-21T14:56:00Z</dcterms:created>
  <dcterms:modified xsi:type="dcterms:W3CDTF">2016-11-21T14:56:00Z</dcterms:modified>
</cp:coreProperties>
</file>