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1F497D" w:themeFill="text2"/>
        <w:tblLook w:val="04A0" w:firstRow="1" w:lastRow="0" w:firstColumn="1" w:lastColumn="0" w:noHBand="0" w:noVBand="1"/>
      </w:tblPr>
      <w:tblGrid>
        <w:gridCol w:w="1910"/>
        <w:gridCol w:w="6585"/>
        <w:gridCol w:w="1785"/>
      </w:tblGrid>
      <w:tr w:rsidR="00D6213E" w:rsidRPr="00D6213E" w:rsidTr="0014797B">
        <w:trPr>
          <w:trHeight w:val="1134"/>
        </w:trPr>
        <w:tc>
          <w:tcPr>
            <w:tcW w:w="1910" w:type="dxa"/>
            <w:tcBorders>
              <w:bottom w:val="nil"/>
            </w:tcBorders>
            <w:shd w:val="clear" w:color="auto" w:fill="1F497D" w:themeFill="text2"/>
            <w:vAlign w:val="center"/>
          </w:tcPr>
          <w:p w:rsidR="00D6213E" w:rsidRPr="00CF75AD" w:rsidRDefault="00D6213E" w:rsidP="00ED0484">
            <w:pPr>
              <w:jc w:val="center"/>
              <w:rPr>
                <w:rFonts w:cs="Arial"/>
                <w:b/>
                <w:color w:val="FFFFFF" w:themeColor="background1"/>
                <w:szCs w:val="24"/>
              </w:rPr>
            </w:pPr>
            <w:r w:rsidRPr="00CF75AD">
              <w:rPr>
                <w:rFonts w:cs="Arial"/>
                <w:b/>
                <w:color w:val="FFFFFF" w:themeColor="background1"/>
                <w:szCs w:val="24"/>
              </w:rPr>
              <w:t>Understanding Bradford District</w:t>
            </w:r>
          </w:p>
        </w:tc>
        <w:tc>
          <w:tcPr>
            <w:tcW w:w="6585" w:type="dxa"/>
            <w:tcBorders>
              <w:bottom w:val="nil"/>
            </w:tcBorders>
            <w:shd w:val="clear" w:color="auto" w:fill="1F497D" w:themeFill="text2"/>
            <w:vAlign w:val="center"/>
          </w:tcPr>
          <w:p w:rsidR="00B727EF" w:rsidRPr="00B727EF" w:rsidRDefault="00B727EF" w:rsidP="0014797B">
            <w:pPr>
              <w:jc w:val="center"/>
              <w:rPr>
                <w:color w:val="FFFFFF" w:themeColor="background1"/>
                <w:sz w:val="20"/>
                <w:szCs w:val="20"/>
              </w:rPr>
            </w:pPr>
            <w:r w:rsidRPr="00B727EF">
              <w:rPr>
                <w:color w:val="FFFFFF" w:themeColor="background1"/>
                <w:sz w:val="20"/>
                <w:szCs w:val="20"/>
              </w:rPr>
              <w:t>City of Bradford Metropolitan District Council</w:t>
            </w:r>
          </w:p>
          <w:p w:rsidR="0014797B" w:rsidRPr="00B727EF" w:rsidRDefault="00D6213E" w:rsidP="0014797B">
            <w:pPr>
              <w:jc w:val="center"/>
              <w:rPr>
                <w:b/>
                <w:color w:val="FFFFFF" w:themeColor="background1"/>
                <w:sz w:val="36"/>
                <w:szCs w:val="36"/>
              </w:rPr>
            </w:pPr>
            <w:r w:rsidRPr="00B727EF">
              <w:rPr>
                <w:b/>
                <w:color w:val="FFFFFF" w:themeColor="background1"/>
                <w:sz w:val="36"/>
                <w:szCs w:val="36"/>
              </w:rPr>
              <w:t xml:space="preserve">Intelligence </w:t>
            </w:r>
            <w:r w:rsidR="0014797B" w:rsidRPr="00B727EF">
              <w:rPr>
                <w:b/>
                <w:color w:val="FFFFFF" w:themeColor="background1"/>
                <w:sz w:val="36"/>
                <w:szCs w:val="36"/>
              </w:rPr>
              <w:t>Bulletin</w:t>
            </w:r>
          </w:p>
        </w:tc>
        <w:tc>
          <w:tcPr>
            <w:tcW w:w="1785" w:type="dxa"/>
            <w:tcBorders>
              <w:bottom w:val="nil"/>
            </w:tcBorders>
            <w:shd w:val="clear" w:color="auto" w:fill="1F497D" w:themeFill="text2"/>
            <w:vAlign w:val="center"/>
          </w:tcPr>
          <w:p w:rsidR="00D6213E" w:rsidRPr="00CF75AD" w:rsidRDefault="005508BF" w:rsidP="00ED0484">
            <w:pPr>
              <w:jc w:val="center"/>
              <w:rPr>
                <w:rFonts w:cs="Arial"/>
                <w:color w:val="FFFFFF" w:themeColor="background1"/>
                <w:szCs w:val="24"/>
              </w:rPr>
            </w:pPr>
            <w:r>
              <w:rPr>
                <w:rFonts w:cs="Arial"/>
                <w:color w:val="FFFFFF" w:themeColor="background1"/>
                <w:szCs w:val="24"/>
              </w:rPr>
              <w:t xml:space="preserve">October </w:t>
            </w:r>
            <w:r w:rsidR="009169EA">
              <w:rPr>
                <w:rFonts w:cs="Arial"/>
                <w:color w:val="FFFFFF" w:themeColor="background1"/>
                <w:szCs w:val="24"/>
              </w:rPr>
              <w:t xml:space="preserve"> 2016</w:t>
            </w:r>
          </w:p>
        </w:tc>
      </w:tr>
    </w:tbl>
    <w:p w:rsidR="00BA4041" w:rsidRPr="00BA4041" w:rsidRDefault="00BA4041">
      <w:pPr>
        <w:rPr>
          <w:sz w:val="6"/>
          <w:szCs w:val="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51"/>
        <w:gridCol w:w="8329"/>
      </w:tblGrid>
      <w:tr w:rsidR="00BA4041" w:rsidTr="00BA4041">
        <w:tc>
          <w:tcPr>
            <w:tcW w:w="1951" w:type="dxa"/>
          </w:tcPr>
          <w:p w:rsidR="00BA4041" w:rsidRDefault="009E18BC">
            <w:r>
              <w:rPr>
                <w:noProof/>
                <w:lang w:eastAsia="en-GB"/>
              </w:rPr>
              <w:drawing>
                <wp:inline distT="0" distB="0" distL="0" distR="0" wp14:anchorId="1B8FCBAE" wp14:editId="7BD97D6F">
                  <wp:extent cx="1068705" cy="1061720"/>
                  <wp:effectExtent l="0" t="0" r="0" b="508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9" cstate="print">
                            <a:extLst>
                              <a:ext uri="{28A0092B-C50C-407E-A947-70E740481C1C}">
                                <a14:useLocalDpi xmlns:a14="http://schemas.microsoft.com/office/drawing/2010/main" val="0"/>
                              </a:ext>
                            </a:extLst>
                          </a:blip>
                          <a:srcRect t="3044" r="4029" b="2576"/>
                          <a:stretch/>
                        </pic:blipFill>
                        <pic:spPr bwMode="auto">
                          <a:xfrm>
                            <a:off x="0" y="0"/>
                            <a:ext cx="1068705" cy="10617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29" w:type="dxa"/>
            <w:vAlign w:val="center"/>
          </w:tcPr>
          <w:p w:rsidR="00BA4041" w:rsidRPr="00330D01" w:rsidRDefault="009169EA" w:rsidP="00330D01">
            <w:pPr>
              <w:pStyle w:val="Title"/>
            </w:pPr>
            <w:r>
              <w:t>Economy</w:t>
            </w:r>
          </w:p>
        </w:tc>
      </w:tr>
    </w:tbl>
    <w:p w:rsidR="00BA4041" w:rsidRPr="00BA4041" w:rsidRDefault="00BA4041">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80"/>
      </w:tblGrid>
      <w:tr w:rsidR="00D6213E" w:rsidTr="009D73B1">
        <w:tc>
          <w:tcPr>
            <w:tcW w:w="10280" w:type="dxa"/>
            <w:shd w:val="clear" w:color="auto" w:fill="DAEEF3" w:themeFill="accent5" w:themeFillTint="33"/>
          </w:tcPr>
          <w:p w:rsidR="00D6213E" w:rsidRPr="00E1226B" w:rsidRDefault="00D6213E" w:rsidP="00CF75AD">
            <w:pPr>
              <w:pStyle w:val="Heading1"/>
            </w:pPr>
            <w:r w:rsidRPr="00E1226B">
              <w:t>At a glance:</w:t>
            </w:r>
          </w:p>
          <w:p w:rsidR="009169EA" w:rsidRPr="009169EA" w:rsidRDefault="009169EA" w:rsidP="009169EA">
            <w:pPr>
              <w:pStyle w:val="ListParagraph"/>
              <w:numPr>
                <w:ilvl w:val="0"/>
                <w:numId w:val="2"/>
              </w:numPr>
              <w:rPr>
                <w:rFonts w:cs="Arial"/>
                <w:szCs w:val="24"/>
              </w:rPr>
            </w:pPr>
            <w:r w:rsidRPr="009169EA">
              <w:rPr>
                <w:rFonts w:cs="Arial"/>
                <w:szCs w:val="24"/>
              </w:rPr>
              <w:t>Bradford is a big economy worth £9.2bn and is the eleventh largest economy in the UK.</w:t>
            </w:r>
          </w:p>
          <w:p w:rsidR="009169EA" w:rsidRPr="009169EA" w:rsidRDefault="009169EA" w:rsidP="009169EA">
            <w:pPr>
              <w:pStyle w:val="ListParagraph"/>
              <w:numPr>
                <w:ilvl w:val="0"/>
                <w:numId w:val="2"/>
              </w:numPr>
              <w:rPr>
                <w:rFonts w:cs="Arial"/>
                <w:szCs w:val="24"/>
              </w:rPr>
            </w:pPr>
            <w:r w:rsidRPr="009169EA">
              <w:rPr>
                <w:rFonts w:cs="Arial"/>
                <w:szCs w:val="24"/>
              </w:rPr>
              <w:t xml:space="preserve">Growth in the district’s GVA between 2013 and 2014 was 2.7% which was lower than the Yorkshire and Humber growth of 3.3% and UK growth of 4.6%. </w:t>
            </w:r>
          </w:p>
          <w:p w:rsidR="009169EA" w:rsidRPr="009169EA" w:rsidRDefault="001830C1" w:rsidP="009169EA">
            <w:pPr>
              <w:pStyle w:val="ListParagraph"/>
              <w:numPr>
                <w:ilvl w:val="0"/>
                <w:numId w:val="2"/>
              </w:numPr>
              <w:rPr>
                <w:rFonts w:cs="Arial"/>
                <w:szCs w:val="24"/>
              </w:rPr>
            </w:pPr>
            <w:r>
              <w:rPr>
                <w:rFonts w:cs="Arial"/>
                <w:szCs w:val="24"/>
              </w:rPr>
              <w:t>Bradford has 17</w:t>
            </w:r>
            <w:r w:rsidR="00215E3F">
              <w:rPr>
                <w:rFonts w:cs="Arial"/>
                <w:szCs w:val="24"/>
              </w:rPr>
              <w:t>,620  businesses employing 193,2</w:t>
            </w:r>
            <w:r>
              <w:rPr>
                <w:rFonts w:cs="Arial"/>
                <w:szCs w:val="24"/>
              </w:rPr>
              <w:t xml:space="preserve">00 </w:t>
            </w:r>
            <w:r w:rsidR="009169EA" w:rsidRPr="009169EA">
              <w:rPr>
                <w:rFonts w:cs="Arial"/>
                <w:szCs w:val="24"/>
              </w:rPr>
              <w:t xml:space="preserve"> employees. </w:t>
            </w:r>
          </w:p>
          <w:p w:rsidR="009169EA" w:rsidRPr="009169EA" w:rsidRDefault="009169EA" w:rsidP="009169EA">
            <w:pPr>
              <w:pStyle w:val="ListParagraph"/>
              <w:numPr>
                <w:ilvl w:val="0"/>
                <w:numId w:val="2"/>
              </w:numPr>
              <w:rPr>
                <w:rFonts w:cs="Arial"/>
                <w:szCs w:val="24"/>
              </w:rPr>
            </w:pPr>
            <w:r w:rsidRPr="009169EA">
              <w:rPr>
                <w:rFonts w:cs="Arial"/>
                <w:szCs w:val="24"/>
              </w:rPr>
              <w:t xml:space="preserve">Following recession Bradford has seen business numbers exceed pre-recession levels.  </w:t>
            </w:r>
          </w:p>
          <w:p w:rsidR="009169EA" w:rsidRPr="009169EA" w:rsidRDefault="009169EA" w:rsidP="009169EA">
            <w:pPr>
              <w:pStyle w:val="ListParagraph"/>
              <w:numPr>
                <w:ilvl w:val="0"/>
                <w:numId w:val="2"/>
              </w:numPr>
              <w:rPr>
                <w:rFonts w:cs="Arial"/>
                <w:szCs w:val="24"/>
              </w:rPr>
            </w:pPr>
            <w:r w:rsidRPr="009169EA">
              <w:rPr>
                <w:rFonts w:cs="Arial"/>
                <w:szCs w:val="24"/>
              </w:rPr>
              <w:t xml:space="preserve">Bradford has one of the highest business start up rates in the UK though it is now slowing which may reflect a strengthening jobs market. </w:t>
            </w:r>
          </w:p>
          <w:p w:rsidR="009169EA" w:rsidRPr="009169EA" w:rsidRDefault="009169EA" w:rsidP="009169EA">
            <w:pPr>
              <w:pStyle w:val="ListParagraph"/>
              <w:numPr>
                <w:ilvl w:val="0"/>
                <w:numId w:val="2"/>
              </w:numPr>
              <w:rPr>
                <w:rFonts w:cs="Arial"/>
                <w:szCs w:val="24"/>
              </w:rPr>
            </w:pPr>
            <w:r w:rsidRPr="009169EA">
              <w:rPr>
                <w:rFonts w:cs="Arial"/>
                <w:szCs w:val="24"/>
              </w:rPr>
              <w:t>Bradford retains a stron</w:t>
            </w:r>
            <w:r w:rsidR="001830C1">
              <w:rPr>
                <w:rFonts w:cs="Arial"/>
                <w:szCs w:val="24"/>
              </w:rPr>
              <w:t xml:space="preserve">g manufacturing base with 25,000 </w:t>
            </w:r>
            <w:r w:rsidRPr="009169EA">
              <w:rPr>
                <w:rFonts w:cs="Arial"/>
                <w:szCs w:val="24"/>
              </w:rPr>
              <w:t xml:space="preserve"> jobs, the 3rd highest in the UK. </w:t>
            </w:r>
          </w:p>
          <w:p w:rsidR="009169EA" w:rsidRPr="009169EA" w:rsidRDefault="009169EA" w:rsidP="009169EA">
            <w:pPr>
              <w:pStyle w:val="ListParagraph"/>
              <w:numPr>
                <w:ilvl w:val="0"/>
                <w:numId w:val="2"/>
              </w:numPr>
              <w:rPr>
                <w:rFonts w:cs="Arial"/>
                <w:szCs w:val="24"/>
              </w:rPr>
            </w:pPr>
            <w:r w:rsidRPr="009169EA">
              <w:rPr>
                <w:rFonts w:cs="Arial"/>
                <w:szCs w:val="24"/>
              </w:rPr>
              <w:t>High value added and knowledge intensive industries are under-represented in Bradford.</w:t>
            </w:r>
          </w:p>
          <w:p w:rsidR="009169EA" w:rsidRDefault="009169EA" w:rsidP="009169EA">
            <w:pPr>
              <w:pStyle w:val="ListParagraph"/>
              <w:numPr>
                <w:ilvl w:val="0"/>
                <w:numId w:val="2"/>
              </w:numPr>
              <w:rPr>
                <w:rFonts w:cs="Arial"/>
                <w:szCs w:val="24"/>
              </w:rPr>
            </w:pPr>
            <w:r w:rsidRPr="00F332A7">
              <w:rPr>
                <w:rFonts w:cs="Arial"/>
                <w:szCs w:val="24"/>
              </w:rPr>
              <w:t>Despite improving skills levels, Bradford residents’ earnings lag regional and national averages</w:t>
            </w:r>
            <w:r>
              <w:rPr>
                <w:rFonts w:cs="Arial"/>
                <w:szCs w:val="24"/>
              </w:rPr>
              <w:t>.</w:t>
            </w:r>
          </w:p>
          <w:p w:rsidR="0014797B" w:rsidRPr="009169EA" w:rsidRDefault="009169EA" w:rsidP="009169EA">
            <w:pPr>
              <w:pStyle w:val="ListParagraph"/>
              <w:numPr>
                <w:ilvl w:val="0"/>
                <w:numId w:val="2"/>
              </w:numPr>
              <w:rPr>
                <w:rFonts w:cs="Arial"/>
                <w:szCs w:val="24"/>
              </w:rPr>
            </w:pPr>
            <w:r>
              <w:rPr>
                <w:rFonts w:cs="Arial"/>
                <w:szCs w:val="24"/>
              </w:rPr>
              <w:t>Bradford residents occupational profile is skewed towards lower skill occupations</w:t>
            </w:r>
          </w:p>
        </w:tc>
      </w:tr>
    </w:tbl>
    <w:p w:rsidR="00E1226B" w:rsidRDefault="00E1226B" w:rsidP="009D73B1">
      <w:pPr>
        <w:pStyle w:val="Heading1"/>
        <w:sectPr w:rsidR="00E1226B" w:rsidSect="0014797B">
          <w:headerReference w:type="default" r:id="rId10"/>
          <w:footerReference w:type="default" r:id="rId11"/>
          <w:footerReference w:type="first" r:id="rId12"/>
          <w:pgSz w:w="11906" w:h="16838"/>
          <w:pgMar w:top="-582" w:right="991" w:bottom="851" w:left="851" w:header="708" w:footer="401" w:gutter="0"/>
          <w:cols w:space="708"/>
          <w:docGrid w:linePitch="360"/>
        </w:sectPr>
      </w:pPr>
    </w:p>
    <w:p w:rsidR="007A1DD5" w:rsidRDefault="007A1DD5" w:rsidP="00E016D0">
      <w:pPr>
        <w:ind w:right="-1"/>
      </w:pPr>
    </w:p>
    <w:p w:rsidR="009169EA" w:rsidRPr="009169EA" w:rsidRDefault="009169EA" w:rsidP="00E016D0">
      <w:pPr>
        <w:pStyle w:val="Heading1"/>
        <w:ind w:right="-1"/>
      </w:pPr>
      <w:r w:rsidRPr="009169EA">
        <w:t>E</w:t>
      </w:r>
      <w:r w:rsidR="0061324E">
        <w:t>conomic Output and Productivity</w:t>
      </w:r>
    </w:p>
    <w:p w:rsidR="009169EA" w:rsidRPr="008F1636" w:rsidRDefault="009169EA" w:rsidP="00500D60">
      <w:pPr>
        <w:spacing w:after="120"/>
        <w:rPr>
          <w:rFonts w:cs="Arial"/>
        </w:rPr>
      </w:pPr>
      <w:r w:rsidRPr="008F1636">
        <w:rPr>
          <w:rFonts w:cs="Arial"/>
        </w:rPr>
        <w:t xml:space="preserve">Bradford is a big economy worth £9.2bn and is the eleventh largest economy in the </w:t>
      </w:r>
      <w:smartTag w:uri="urn:schemas-microsoft-com:office:smarttags" w:element="country-region">
        <w:r w:rsidRPr="008F1636">
          <w:rPr>
            <w:rFonts w:cs="Arial"/>
          </w:rPr>
          <w:t>UK</w:t>
        </w:r>
      </w:smartTag>
      <w:r w:rsidRPr="008F1636">
        <w:rPr>
          <w:rFonts w:cs="Arial"/>
        </w:rPr>
        <w:t xml:space="preserve"> and eighth in </w:t>
      </w:r>
      <w:smartTag w:uri="urn:schemas-microsoft-com:office:smarttags" w:element="place">
        <w:smartTag w:uri="urn:schemas-microsoft-com:office:smarttags" w:element="country-region">
          <w:r w:rsidRPr="008F1636">
            <w:rPr>
              <w:rFonts w:cs="Arial"/>
            </w:rPr>
            <w:t>England</w:t>
          </w:r>
        </w:smartTag>
      </w:smartTag>
      <w:r w:rsidRPr="008F1636">
        <w:rPr>
          <w:rFonts w:cs="Arial"/>
        </w:rPr>
        <w:t>. It is the third largest in the Yorkshire region after Leeds and Sheffield</w:t>
      </w:r>
      <w:r w:rsidR="0061324E" w:rsidRPr="008F1636">
        <w:rPr>
          <w:rFonts w:cs="Arial"/>
        </w:rPr>
        <w:t>.</w:t>
      </w:r>
    </w:p>
    <w:p w:rsidR="009169EA" w:rsidRPr="008F1636" w:rsidRDefault="009169EA" w:rsidP="00500D60">
      <w:pPr>
        <w:spacing w:after="120"/>
        <w:rPr>
          <w:rFonts w:cs="Arial"/>
        </w:rPr>
      </w:pPr>
      <w:r w:rsidRPr="008F1636">
        <w:rPr>
          <w:rFonts w:cs="Arial"/>
        </w:rPr>
        <w:t>Growth in the district’s G</w:t>
      </w:r>
      <w:r w:rsidR="00AB20A4">
        <w:rPr>
          <w:rFonts w:cs="Arial"/>
        </w:rPr>
        <w:t xml:space="preserve">ross </w:t>
      </w:r>
      <w:r w:rsidRPr="008F1636">
        <w:rPr>
          <w:rFonts w:cs="Arial"/>
        </w:rPr>
        <w:t>V</w:t>
      </w:r>
      <w:r w:rsidR="00AB20A4">
        <w:rPr>
          <w:rFonts w:cs="Arial"/>
        </w:rPr>
        <w:t xml:space="preserve">alue </w:t>
      </w:r>
      <w:r w:rsidRPr="008F1636">
        <w:rPr>
          <w:rFonts w:cs="Arial"/>
        </w:rPr>
        <w:t>A</w:t>
      </w:r>
      <w:r w:rsidR="00AB20A4">
        <w:rPr>
          <w:rFonts w:cs="Arial"/>
        </w:rPr>
        <w:t>dded</w:t>
      </w:r>
      <w:r w:rsidRPr="008F1636">
        <w:rPr>
          <w:rFonts w:cs="Arial"/>
        </w:rPr>
        <w:t xml:space="preserve"> between 2013 and 2014 was 2.7% which was lower than the Yorkshire and Humber regional and UK national rates of growth for 2013 and 2014 at 3.3% and 4.6% respectively.</w:t>
      </w:r>
    </w:p>
    <w:p w:rsidR="009169EA" w:rsidRPr="007C5591" w:rsidRDefault="0020361C" w:rsidP="00E016D0">
      <w:pPr>
        <w:ind w:right="-1"/>
        <w:rPr>
          <w:rFonts w:cs="Arial"/>
          <w:color w:val="000000"/>
          <w:sz w:val="16"/>
          <w:szCs w:val="16"/>
        </w:rPr>
      </w:pPr>
      <w:r w:rsidRPr="00931AFE">
        <w:rPr>
          <w:b/>
          <w:color w:val="000000" w:themeColor="text1"/>
        </w:rPr>
        <w:t>Bradford District Total GVA Trends 1997 - 2014</w:t>
      </w:r>
    </w:p>
    <w:p w:rsidR="009169EA" w:rsidRDefault="00B541FB" w:rsidP="00E016D0">
      <w:pPr>
        <w:pStyle w:val="Default"/>
        <w:spacing w:after="38"/>
        <w:ind w:right="-1"/>
        <w:rPr>
          <w:b/>
          <w:sz w:val="16"/>
          <w:szCs w:val="16"/>
        </w:rPr>
      </w:pPr>
      <w:r>
        <w:rPr>
          <w:noProof/>
        </w:rPr>
        <w:drawing>
          <wp:anchor distT="0" distB="0" distL="114300" distR="114300" simplePos="0" relativeHeight="251659264" behindDoc="0" locked="0" layoutInCell="1" allowOverlap="1" wp14:anchorId="31CFC0FB" wp14:editId="0A2B1FB9">
            <wp:simplePos x="0" y="0"/>
            <wp:positionH relativeFrom="column">
              <wp:posOffset>88265</wp:posOffset>
            </wp:positionH>
            <wp:positionV relativeFrom="paragraph">
              <wp:posOffset>31750</wp:posOffset>
            </wp:positionV>
            <wp:extent cx="6162675" cy="27432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20361C" w:rsidRPr="0020361C" w:rsidRDefault="0020361C" w:rsidP="00E016D0">
      <w:pPr>
        <w:pStyle w:val="Default"/>
        <w:spacing w:after="38"/>
        <w:ind w:right="-1"/>
        <w:rPr>
          <w:b/>
          <w:i/>
          <w:sz w:val="22"/>
          <w:szCs w:val="22"/>
        </w:rPr>
      </w:pPr>
      <w:r>
        <w:rPr>
          <w:i/>
          <w:sz w:val="22"/>
          <w:szCs w:val="22"/>
        </w:rPr>
        <w:t xml:space="preserve">Source: </w:t>
      </w:r>
      <w:r w:rsidRPr="0020361C">
        <w:rPr>
          <w:i/>
          <w:sz w:val="22"/>
          <w:szCs w:val="22"/>
        </w:rPr>
        <w:t>Office for National Statistics (ONS)</w:t>
      </w:r>
    </w:p>
    <w:p w:rsidR="0020361C" w:rsidRDefault="0020361C" w:rsidP="00E016D0">
      <w:pPr>
        <w:pStyle w:val="Default"/>
        <w:spacing w:after="38"/>
        <w:ind w:right="-1"/>
        <w:rPr>
          <w:b/>
          <w:sz w:val="16"/>
          <w:szCs w:val="16"/>
        </w:rPr>
      </w:pPr>
    </w:p>
    <w:p w:rsidR="0020361C" w:rsidRPr="00F819BA" w:rsidRDefault="0020361C" w:rsidP="00E016D0">
      <w:pPr>
        <w:pStyle w:val="Default"/>
        <w:spacing w:after="38"/>
        <w:ind w:right="-1"/>
        <w:rPr>
          <w:b/>
          <w:sz w:val="16"/>
          <w:szCs w:val="16"/>
        </w:rPr>
      </w:pPr>
    </w:p>
    <w:p w:rsidR="009169EA" w:rsidRPr="008F1636" w:rsidRDefault="009169EA" w:rsidP="00500D60">
      <w:pPr>
        <w:spacing w:after="120"/>
        <w:rPr>
          <w:rFonts w:cs="Arial"/>
        </w:rPr>
      </w:pPr>
      <w:r w:rsidRPr="008F1636">
        <w:rPr>
          <w:rFonts w:cs="Arial"/>
        </w:rPr>
        <w:lastRenderedPageBreak/>
        <w:t xml:space="preserve">GVA is also measured per head of population. Bradford has a relatively low GVA per head of population figure. At 2014 Bradford’s per head figure at £17,366 was far lower than the West Yorkshire (£20,808) and national (£24,958) averages and also lower than the Yorkshire and Humber (£19,863) regional average. </w:t>
      </w:r>
    </w:p>
    <w:p w:rsidR="009169EA" w:rsidRPr="00BF5508" w:rsidRDefault="00BF5508" w:rsidP="00BF5508">
      <w:pPr>
        <w:keepNext/>
        <w:keepLines/>
        <w:spacing w:after="120"/>
        <w:ind w:right="-1"/>
        <w:rPr>
          <w:rFonts w:cs="Arial"/>
          <w:b/>
          <w:szCs w:val="24"/>
        </w:rPr>
      </w:pPr>
      <w:r w:rsidRPr="00BF5508">
        <w:rPr>
          <w:rFonts w:cs="Arial"/>
          <w:b/>
          <w:szCs w:val="24"/>
        </w:rPr>
        <w:t>Headline GVA at current basis prices 2014*</w:t>
      </w:r>
    </w:p>
    <w:tbl>
      <w:tblPr>
        <w:tblW w:w="0" w:type="auto"/>
        <w:tblInd w:w="78" w:type="dxa"/>
        <w:tblLayout w:type="fixed"/>
        <w:tblLook w:val="0000" w:firstRow="0" w:lastRow="0" w:firstColumn="0" w:lastColumn="0" w:noHBand="0" w:noVBand="0"/>
      </w:tblPr>
      <w:tblGrid>
        <w:gridCol w:w="2114"/>
        <w:gridCol w:w="1608"/>
        <w:gridCol w:w="1608"/>
        <w:gridCol w:w="1608"/>
        <w:gridCol w:w="1608"/>
        <w:gridCol w:w="1608"/>
      </w:tblGrid>
      <w:tr w:rsidR="00BF5508" w:rsidTr="00BF5508">
        <w:trPr>
          <w:trHeight w:val="247"/>
        </w:trPr>
        <w:tc>
          <w:tcPr>
            <w:tcW w:w="2114" w:type="dxa"/>
            <w:tcBorders>
              <w:top w:val="single" w:sz="6" w:space="0" w:color="auto"/>
              <w:left w:val="single" w:sz="6" w:space="0" w:color="auto"/>
              <w:bottom w:val="single" w:sz="6" w:space="0" w:color="auto"/>
              <w:right w:val="single" w:sz="6" w:space="0" w:color="auto"/>
            </w:tcBorders>
            <w:shd w:val="clear" w:color="auto" w:fill="4F81BD" w:themeFill="accent1"/>
          </w:tcPr>
          <w:p w:rsidR="00BF5508" w:rsidRPr="00BF5508" w:rsidRDefault="00BF5508" w:rsidP="00BF5508">
            <w:pPr>
              <w:keepNext/>
              <w:keepLines/>
              <w:autoSpaceDE w:val="0"/>
              <w:autoSpaceDN w:val="0"/>
              <w:adjustRightInd w:val="0"/>
              <w:jc w:val="right"/>
              <w:rPr>
                <w:rFonts w:cs="Arial"/>
                <w:b/>
                <w:color w:val="FFFFFF" w:themeColor="background1"/>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4F81BD" w:themeFill="accent1"/>
          </w:tcPr>
          <w:p w:rsidR="00BF5508" w:rsidRPr="00BF5508" w:rsidRDefault="00BF5508" w:rsidP="00BF5508">
            <w:pPr>
              <w:keepNext/>
              <w:keepLines/>
              <w:autoSpaceDE w:val="0"/>
              <w:autoSpaceDN w:val="0"/>
              <w:adjustRightInd w:val="0"/>
              <w:jc w:val="center"/>
              <w:rPr>
                <w:rFonts w:cs="Arial"/>
                <w:b/>
                <w:bCs/>
                <w:color w:val="FFFFFF" w:themeColor="background1"/>
                <w:szCs w:val="24"/>
              </w:rPr>
            </w:pPr>
            <w:r w:rsidRPr="00BF5508">
              <w:rPr>
                <w:rFonts w:cs="Arial"/>
                <w:b/>
                <w:bCs/>
                <w:color w:val="FFFFFF" w:themeColor="background1"/>
                <w:szCs w:val="24"/>
              </w:rPr>
              <w:t>GVA Per Head</w:t>
            </w:r>
          </w:p>
        </w:tc>
        <w:tc>
          <w:tcPr>
            <w:tcW w:w="1608" w:type="dxa"/>
            <w:tcBorders>
              <w:top w:val="single" w:sz="6" w:space="0" w:color="auto"/>
              <w:left w:val="single" w:sz="6" w:space="0" w:color="auto"/>
              <w:bottom w:val="single" w:sz="6" w:space="0" w:color="auto"/>
              <w:right w:val="single" w:sz="6" w:space="0" w:color="auto"/>
            </w:tcBorders>
            <w:shd w:val="clear" w:color="auto" w:fill="4F81BD" w:themeFill="accent1"/>
          </w:tcPr>
          <w:p w:rsidR="00BF5508" w:rsidRPr="00BF5508" w:rsidRDefault="00BF5508" w:rsidP="00BF5508">
            <w:pPr>
              <w:keepNext/>
              <w:keepLines/>
              <w:autoSpaceDE w:val="0"/>
              <w:autoSpaceDN w:val="0"/>
              <w:adjustRightInd w:val="0"/>
              <w:jc w:val="center"/>
              <w:rPr>
                <w:rFonts w:cs="Arial"/>
                <w:b/>
                <w:bCs/>
                <w:color w:val="FFFFFF" w:themeColor="background1"/>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4F81BD" w:themeFill="accent1"/>
          </w:tcPr>
          <w:p w:rsidR="00BF5508" w:rsidRPr="00BF5508" w:rsidRDefault="00BF5508" w:rsidP="00BF5508">
            <w:pPr>
              <w:keepNext/>
              <w:keepLines/>
              <w:autoSpaceDE w:val="0"/>
              <w:autoSpaceDN w:val="0"/>
              <w:adjustRightInd w:val="0"/>
              <w:jc w:val="center"/>
              <w:rPr>
                <w:rFonts w:cs="Arial"/>
                <w:b/>
                <w:bCs/>
                <w:color w:val="FFFFFF" w:themeColor="background1"/>
                <w:szCs w:val="24"/>
              </w:rPr>
            </w:pPr>
            <w:r w:rsidRPr="00BF5508">
              <w:rPr>
                <w:rFonts w:cs="Arial"/>
                <w:b/>
                <w:bCs/>
                <w:color w:val="FFFFFF" w:themeColor="background1"/>
                <w:szCs w:val="24"/>
              </w:rPr>
              <w:t>Total GVA</w:t>
            </w:r>
          </w:p>
        </w:tc>
        <w:tc>
          <w:tcPr>
            <w:tcW w:w="1608" w:type="dxa"/>
            <w:tcBorders>
              <w:top w:val="single" w:sz="6" w:space="0" w:color="auto"/>
              <w:left w:val="single" w:sz="6" w:space="0" w:color="auto"/>
              <w:bottom w:val="single" w:sz="6" w:space="0" w:color="auto"/>
              <w:right w:val="single" w:sz="6" w:space="0" w:color="auto"/>
            </w:tcBorders>
            <w:shd w:val="clear" w:color="auto" w:fill="4F81BD" w:themeFill="accent1"/>
          </w:tcPr>
          <w:p w:rsidR="00BF5508" w:rsidRPr="00BF5508" w:rsidRDefault="00BF5508" w:rsidP="00BF5508">
            <w:pPr>
              <w:keepNext/>
              <w:keepLines/>
              <w:autoSpaceDE w:val="0"/>
              <w:autoSpaceDN w:val="0"/>
              <w:adjustRightInd w:val="0"/>
              <w:jc w:val="center"/>
              <w:rPr>
                <w:rFonts w:cs="Arial"/>
                <w:b/>
                <w:bCs/>
                <w:color w:val="FFFFFF" w:themeColor="background1"/>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4F81BD" w:themeFill="accent1"/>
          </w:tcPr>
          <w:p w:rsidR="00BF5508" w:rsidRPr="00BF5508" w:rsidRDefault="00BF5508" w:rsidP="00BF5508">
            <w:pPr>
              <w:keepNext/>
              <w:keepLines/>
              <w:autoSpaceDE w:val="0"/>
              <w:autoSpaceDN w:val="0"/>
              <w:adjustRightInd w:val="0"/>
              <w:jc w:val="center"/>
              <w:rPr>
                <w:rFonts w:cs="Arial"/>
                <w:b/>
                <w:bCs/>
                <w:color w:val="FFFFFF" w:themeColor="background1"/>
                <w:szCs w:val="24"/>
              </w:rPr>
            </w:pPr>
          </w:p>
        </w:tc>
      </w:tr>
      <w:tr w:rsidR="00BF5508" w:rsidTr="00BF5508">
        <w:trPr>
          <w:trHeight w:val="799"/>
        </w:trPr>
        <w:tc>
          <w:tcPr>
            <w:tcW w:w="2114" w:type="dxa"/>
            <w:tcBorders>
              <w:top w:val="single" w:sz="6" w:space="0" w:color="auto"/>
              <w:left w:val="single" w:sz="6" w:space="0" w:color="auto"/>
              <w:bottom w:val="single" w:sz="6" w:space="0" w:color="auto"/>
              <w:right w:val="single" w:sz="6" w:space="0" w:color="auto"/>
            </w:tcBorders>
            <w:shd w:val="clear" w:color="auto" w:fill="4F81BD" w:themeFill="accent1"/>
          </w:tcPr>
          <w:p w:rsidR="00BF5508" w:rsidRPr="00BF5508" w:rsidRDefault="00BF5508" w:rsidP="00BF5508">
            <w:pPr>
              <w:keepNext/>
              <w:keepLines/>
              <w:autoSpaceDE w:val="0"/>
              <w:autoSpaceDN w:val="0"/>
              <w:adjustRightInd w:val="0"/>
              <w:rPr>
                <w:rFonts w:cs="Arial"/>
                <w:b/>
                <w:color w:val="FFFFFF" w:themeColor="background1"/>
                <w:szCs w:val="24"/>
              </w:rPr>
            </w:pPr>
            <w:r w:rsidRPr="00BF5508">
              <w:rPr>
                <w:rFonts w:cs="Arial"/>
                <w:b/>
                <w:color w:val="FFFFFF" w:themeColor="background1"/>
                <w:szCs w:val="24"/>
              </w:rPr>
              <w:t>NUTS 3 areas</w:t>
            </w:r>
          </w:p>
        </w:tc>
        <w:tc>
          <w:tcPr>
            <w:tcW w:w="1608" w:type="dxa"/>
            <w:tcBorders>
              <w:top w:val="single" w:sz="6" w:space="0" w:color="auto"/>
              <w:left w:val="single" w:sz="6" w:space="0" w:color="auto"/>
              <w:bottom w:val="single" w:sz="6" w:space="0" w:color="auto"/>
              <w:right w:val="single" w:sz="6" w:space="0" w:color="auto"/>
            </w:tcBorders>
            <w:shd w:val="clear" w:color="auto" w:fill="4F81BD" w:themeFill="accent1"/>
          </w:tcPr>
          <w:p w:rsidR="00BF5508" w:rsidRPr="00BF5508" w:rsidRDefault="00BF5508" w:rsidP="00BF5508">
            <w:pPr>
              <w:keepNext/>
              <w:keepLines/>
              <w:autoSpaceDE w:val="0"/>
              <w:autoSpaceDN w:val="0"/>
              <w:adjustRightInd w:val="0"/>
              <w:jc w:val="center"/>
              <w:rPr>
                <w:rFonts w:cs="Arial"/>
                <w:b/>
                <w:color w:val="FFFFFF" w:themeColor="background1"/>
                <w:szCs w:val="24"/>
              </w:rPr>
            </w:pPr>
            <w:r w:rsidRPr="00BF5508">
              <w:rPr>
                <w:rFonts w:cs="Arial"/>
                <w:b/>
                <w:color w:val="FFFFFF" w:themeColor="background1"/>
                <w:szCs w:val="24"/>
              </w:rPr>
              <w:t>2014 (£)</w:t>
            </w:r>
          </w:p>
        </w:tc>
        <w:tc>
          <w:tcPr>
            <w:tcW w:w="1608" w:type="dxa"/>
            <w:tcBorders>
              <w:top w:val="single" w:sz="6" w:space="0" w:color="auto"/>
              <w:left w:val="single" w:sz="6" w:space="0" w:color="auto"/>
              <w:bottom w:val="single" w:sz="6" w:space="0" w:color="auto"/>
              <w:right w:val="single" w:sz="6" w:space="0" w:color="auto"/>
            </w:tcBorders>
            <w:shd w:val="clear" w:color="auto" w:fill="4F81BD" w:themeFill="accent1"/>
          </w:tcPr>
          <w:p w:rsidR="00BF5508" w:rsidRPr="00BF5508" w:rsidRDefault="00BF5508" w:rsidP="00BF5508">
            <w:pPr>
              <w:keepNext/>
              <w:keepLines/>
              <w:autoSpaceDE w:val="0"/>
              <w:autoSpaceDN w:val="0"/>
              <w:adjustRightInd w:val="0"/>
              <w:jc w:val="center"/>
              <w:rPr>
                <w:rFonts w:cs="Arial"/>
                <w:b/>
                <w:color w:val="FFFFFF" w:themeColor="background1"/>
                <w:szCs w:val="24"/>
              </w:rPr>
            </w:pPr>
            <w:r w:rsidRPr="00BF5508">
              <w:rPr>
                <w:rFonts w:cs="Arial"/>
                <w:b/>
                <w:color w:val="FFFFFF" w:themeColor="background1"/>
                <w:szCs w:val="24"/>
              </w:rPr>
              <w:t xml:space="preserve">% change </w:t>
            </w:r>
          </w:p>
          <w:p w:rsidR="00BF5508" w:rsidRPr="00BF5508" w:rsidRDefault="00BF5508" w:rsidP="00BF5508">
            <w:pPr>
              <w:keepNext/>
              <w:keepLines/>
              <w:autoSpaceDE w:val="0"/>
              <w:autoSpaceDN w:val="0"/>
              <w:adjustRightInd w:val="0"/>
              <w:jc w:val="center"/>
              <w:rPr>
                <w:rFonts w:cs="Arial"/>
                <w:b/>
                <w:color w:val="FFFFFF" w:themeColor="background1"/>
                <w:szCs w:val="24"/>
              </w:rPr>
            </w:pPr>
            <w:r w:rsidRPr="00BF5508">
              <w:rPr>
                <w:rFonts w:cs="Arial"/>
                <w:b/>
                <w:color w:val="FFFFFF" w:themeColor="background1"/>
                <w:szCs w:val="24"/>
              </w:rPr>
              <w:t>2013-2014</w:t>
            </w:r>
          </w:p>
        </w:tc>
        <w:tc>
          <w:tcPr>
            <w:tcW w:w="1608" w:type="dxa"/>
            <w:tcBorders>
              <w:top w:val="single" w:sz="6" w:space="0" w:color="auto"/>
              <w:left w:val="single" w:sz="6" w:space="0" w:color="auto"/>
              <w:bottom w:val="single" w:sz="6" w:space="0" w:color="auto"/>
              <w:right w:val="single" w:sz="6" w:space="0" w:color="auto"/>
            </w:tcBorders>
            <w:shd w:val="clear" w:color="auto" w:fill="4F81BD" w:themeFill="accent1"/>
          </w:tcPr>
          <w:p w:rsidR="00BF5508" w:rsidRPr="00BF5508" w:rsidRDefault="00BF5508" w:rsidP="00BF5508">
            <w:pPr>
              <w:keepNext/>
              <w:keepLines/>
              <w:autoSpaceDE w:val="0"/>
              <w:autoSpaceDN w:val="0"/>
              <w:adjustRightInd w:val="0"/>
              <w:jc w:val="center"/>
              <w:rPr>
                <w:rFonts w:cs="Arial"/>
                <w:b/>
                <w:color w:val="FFFFFF" w:themeColor="background1"/>
                <w:szCs w:val="24"/>
              </w:rPr>
            </w:pPr>
            <w:r w:rsidRPr="00BF5508">
              <w:rPr>
                <w:rFonts w:cs="Arial"/>
                <w:b/>
                <w:color w:val="FFFFFF" w:themeColor="background1"/>
                <w:szCs w:val="24"/>
              </w:rPr>
              <w:t>2014</w:t>
            </w:r>
          </w:p>
          <w:p w:rsidR="00BF5508" w:rsidRPr="00BF5508" w:rsidRDefault="00BF5508" w:rsidP="00BF5508">
            <w:pPr>
              <w:keepNext/>
              <w:keepLines/>
              <w:autoSpaceDE w:val="0"/>
              <w:autoSpaceDN w:val="0"/>
              <w:adjustRightInd w:val="0"/>
              <w:jc w:val="center"/>
              <w:rPr>
                <w:rFonts w:cs="Arial"/>
                <w:b/>
                <w:color w:val="FFFFFF" w:themeColor="background1"/>
                <w:szCs w:val="24"/>
              </w:rPr>
            </w:pPr>
            <w:r w:rsidRPr="00BF5508">
              <w:rPr>
                <w:rFonts w:cs="Arial"/>
                <w:b/>
                <w:color w:val="FFFFFF" w:themeColor="background1"/>
                <w:szCs w:val="24"/>
              </w:rPr>
              <w:t>(£million)</w:t>
            </w:r>
          </w:p>
        </w:tc>
        <w:tc>
          <w:tcPr>
            <w:tcW w:w="1608" w:type="dxa"/>
            <w:tcBorders>
              <w:top w:val="single" w:sz="6" w:space="0" w:color="auto"/>
              <w:left w:val="single" w:sz="6" w:space="0" w:color="auto"/>
              <w:bottom w:val="single" w:sz="6" w:space="0" w:color="auto"/>
              <w:right w:val="single" w:sz="6" w:space="0" w:color="auto"/>
            </w:tcBorders>
            <w:shd w:val="clear" w:color="auto" w:fill="4F81BD" w:themeFill="accent1"/>
          </w:tcPr>
          <w:p w:rsidR="00BF5508" w:rsidRPr="00BF5508" w:rsidRDefault="00BF5508" w:rsidP="00BF5508">
            <w:pPr>
              <w:keepNext/>
              <w:keepLines/>
              <w:autoSpaceDE w:val="0"/>
              <w:autoSpaceDN w:val="0"/>
              <w:adjustRightInd w:val="0"/>
              <w:jc w:val="center"/>
              <w:rPr>
                <w:rFonts w:cs="Arial"/>
                <w:b/>
                <w:color w:val="FFFFFF" w:themeColor="background1"/>
                <w:szCs w:val="24"/>
              </w:rPr>
            </w:pPr>
            <w:r w:rsidRPr="00BF5508">
              <w:rPr>
                <w:rFonts w:cs="Arial"/>
                <w:b/>
                <w:color w:val="FFFFFF" w:themeColor="background1"/>
                <w:szCs w:val="24"/>
              </w:rPr>
              <w:t xml:space="preserve">% Change </w:t>
            </w:r>
          </w:p>
          <w:p w:rsidR="00BF5508" w:rsidRPr="00BF5508" w:rsidRDefault="00BF5508" w:rsidP="00BF5508">
            <w:pPr>
              <w:keepNext/>
              <w:keepLines/>
              <w:autoSpaceDE w:val="0"/>
              <w:autoSpaceDN w:val="0"/>
              <w:adjustRightInd w:val="0"/>
              <w:jc w:val="center"/>
              <w:rPr>
                <w:rFonts w:cs="Arial"/>
                <w:b/>
                <w:color w:val="FFFFFF" w:themeColor="background1"/>
                <w:szCs w:val="24"/>
              </w:rPr>
            </w:pPr>
            <w:r w:rsidRPr="00BF5508">
              <w:rPr>
                <w:rFonts w:cs="Arial"/>
                <w:b/>
                <w:color w:val="FFFFFF" w:themeColor="background1"/>
                <w:szCs w:val="24"/>
              </w:rPr>
              <w:t>2013-2014</w:t>
            </w:r>
          </w:p>
        </w:tc>
        <w:tc>
          <w:tcPr>
            <w:tcW w:w="1608" w:type="dxa"/>
            <w:tcBorders>
              <w:top w:val="single" w:sz="6" w:space="0" w:color="auto"/>
              <w:left w:val="single" w:sz="6" w:space="0" w:color="auto"/>
              <w:bottom w:val="single" w:sz="6" w:space="0" w:color="auto"/>
              <w:right w:val="single" w:sz="6" w:space="0" w:color="auto"/>
            </w:tcBorders>
            <w:shd w:val="clear" w:color="auto" w:fill="4F81BD" w:themeFill="accent1"/>
          </w:tcPr>
          <w:p w:rsidR="00BF5508" w:rsidRPr="00BF5508" w:rsidRDefault="00BF5508" w:rsidP="00BF5508">
            <w:pPr>
              <w:keepNext/>
              <w:keepLines/>
              <w:autoSpaceDE w:val="0"/>
              <w:autoSpaceDN w:val="0"/>
              <w:adjustRightInd w:val="0"/>
              <w:jc w:val="center"/>
              <w:rPr>
                <w:rFonts w:cs="Arial"/>
                <w:b/>
                <w:color w:val="FFFFFF" w:themeColor="background1"/>
                <w:szCs w:val="24"/>
              </w:rPr>
            </w:pPr>
            <w:r w:rsidRPr="00BF5508">
              <w:rPr>
                <w:rFonts w:cs="Arial"/>
                <w:b/>
                <w:color w:val="FFFFFF" w:themeColor="background1"/>
                <w:szCs w:val="24"/>
              </w:rPr>
              <w:t>% of Yorkshire &amp; Humber total</w:t>
            </w:r>
          </w:p>
        </w:tc>
      </w:tr>
      <w:tr w:rsidR="00BF5508" w:rsidTr="00BF5508">
        <w:trPr>
          <w:trHeight w:val="247"/>
        </w:trPr>
        <w:tc>
          <w:tcPr>
            <w:tcW w:w="2114"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rPr>
                <w:rFonts w:cs="Arial"/>
                <w:color w:val="000000"/>
                <w:szCs w:val="24"/>
              </w:rPr>
            </w:pPr>
            <w:r w:rsidRPr="00BF5508">
              <w:rPr>
                <w:rFonts w:cs="Arial"/>
                <w:color w:val="000000"/>
                <w:szCs w:val="24"/>
              </w:rPr>
              <w:t>Bradford</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17,366</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2.40%</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9,172</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2.70%</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8.60%</w:t>
            </w:r>
          </w:p>
        </w:tc>
      </w:tr>
      <w:tr w:rsidR="00BF5508" w:rsidTr="00BF5508">
        <w:trPr>
          <w:trHeight w:val="247"/>
        </w:trPr>
        <w:tc>
          <w:tcPr>
            <w:tcW w:w="2114"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rPr>
                <w:rFonts w:cs="Arial"/>
                <w:color w:val="000000"/>
                <w:szCs w:val="24"/>
              </w:rPr>
            </w:pPr>
            <w:r w:rsidRPr="00BF5508">
              <w:rPr>
                <w:rFonts w:cs="Arial"/>
                <w:color w:val="000000"/>
                <w:szCs w:val="24"/>
              </w:rPr>
              <w:t>Leeds</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26,341</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2.30%</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20,188</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2.90%</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19.00%</w:t>
            </w:r>
          </w:p>
        </w:tc>
      </w:tr>
      <w:tr w:rsidR="00BF5508" w:rsidTr="00BF5508">
        <w:trPr>
          <w:trHeight w:val="247"/>
        </w:trPr>
        <w:tc>
          <w:tcPr>
            <w:tcW w:w="2114"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rPr>
                <w:rFonts w:cs="Arial"/>
                <w:color w:val="000000"/>
                <w:szCs w:val="24"/>
              </w:rPr>
            </w:pPr>
            <w:r w:rsidRPr="00BF5508">
              <w:rPr>
                <w:rFonts w:cs="Arial"/>
                <w:color w:val="000000"/>
                <w:szCs w:val="24"/>
              </w:rPr>
              <w:t>Calderdale &amp; Kirklees</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17,755</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3.00%</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11,335</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3.60%</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10.60%</w:t>
            </w:r>
          </w:p>
        </w:tc>
      </w:tr>
      <w:tr w:rsidR="00BF5508" w:rsidTr="00BF5508">
        <w:trPr>
          <w:trHeight w:val="247"/>
        </w:trPr>
        <w:tc>
          <w:tcPr>
            <w:tcW w:w="2114"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rPr>
                <w:rFonts w:cs="Arial"/>
                <w:color w:val="000000"/>
                <w:szCs w:val="24"/>
              </w:rPr>
            </w:pPr>
            <w:r w:rsidRPr="00BF5508">
              <w:rPr>
                <w:rFonts w:cs="Arial"/>
                <w:color w:val="000000"/>
                <w:szCs w:val="24"/>
              </w:rPr>
              <w:t>Wakefield</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19,382</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1.00%</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6,423</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1.50%</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6.00%</w:t>
            </w:r>
          </w:p>
        </w:tc>
      </w:tr>
      <w:tr w:rsidR="00BF5508" w:rsidTr="00BF5508">
        <w:trPr>
          <w:trHeight w:val="247"/>
        </w:trPr>
        <w:tc>
          <w:tcPr>
            <w:tcW w:w="2114"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rPr>
                <w:rFonts w:cs="Arial"/>
                <w:color w:val="000000"/>
                <w:szCs w:val="24"/>
              </w:rPr>
            </w:pPr>
            <w:r w:rsidRPr="00BF5508">
              <w:rPr>
                <w:rFonts w:cs="Arial"/>
                <w:color w:val="000000"/>
                <w:szCs w:val="24"/>
              </w:rPr>
              <w:t>West Yorkshire</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20,808</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2.30%</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47,117</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rsidP="00BF5508">
            <w:pPr>
              <w:keepNext/>
              <w:keepLines/>
              <w:autoSpaceDE w:val="0"/>
              <w:autoSpaceDN w:val="0"/>
              <w:adjustRightInd w:val="0"/>
              <w:jc w:val="right"/>
              <w:rPr>
                <w:rFonts w:cs="Arial"/>
                <w:color w:val="000000"/>
                <w:szCs w:val="24"/>
              </w:rPr>
            </w:pPr>
            <w:r w:rsidRPr="00BF5508">
              <w:rPr>
                <w:rFonts w:cs="Arial"/>
                <w:color w:val="000000"/>
                <w:szCs w:val="24"/>
              </w:rPr>
              <w:t>2.80%</w:t>
            </w:r>
          </w:p>
        </w:tc>
        <w:tc>
          <w:tcPr>
            <w:tcW w:w="1608" w:type="dxa"/>
            <w:tcBorders>
              <w:top w:val="single" w:sz="6" w:space="0" w:color="auto"/>
              <w:left w:val="single" w:sz="6" w:space="0" w:color="auto"/>
              <w:bottom w:val="single" w:sz="6" w:space="0" w:color="auto"/>
              <w:right w:val="single" w:sz="6" w:space="0" w:color="auto"/>
            </w:tcBorders>
            <w:shd w:val="solid" w:color="C0C0C0" w:fill="auto"/>
          </w:tcPr>
          <w:p w:rsidR="00BF5508" w:rsidRPr="00BF5508" w:rsidRDefault="00BF5508" w:rsidP="00BF5508">
            <w:pPr>
              <w:keepNext/>
              <w:keepLines/>
              <w:autoSpaceDE w:val="0"/>
              <w:autoSpaceDN w:val="0"/>
              <w:adjustRightInd w:val="0"/>
              <w:jc w:val="right"/>
              <w:rPr>
                <w:rFonts w:cs="Arial"/>
                <w:color w:val="000000"/>
                <w:szCs w:val="24"/>
              </w:rPr>
            </w:pPr>
          </w:p>
        </w:tc>
      </w:tr>
      <w:tr w:rsidR="00BF5508" w:rsidTr="00BF5508">
        <w:trPr>
          <w:trHeight w:val="247"/>
        </w:trPr>
        <w:tc>
          <w:tcPr>
            <w:tcW w:w="2114" w:type="dxa"/>
            <w:tcBorders>
              <w:top w:val="single" w:sz="6" w:space="0" w:color="auto"/>
              <w:left w:val="single" w:sz="6" w:space="0" w:color="auto"/>
              <w:bottom w:val="single" w:sz="6" w:space="0" w:color="auto"/>
              <w:right w:val="single" w:sz="6" w:space="0" w:color="auto"/>
            </w:tcBorders>
          </w:tcPr>
          <w:p w:rsidR="00BF5508" w:rsidRPr="00BF5508" w:rsidRDefault="00BF5508">
            <w:pPr>
              <w:autoSpaceDE w:val="0"/>
              <w:autoSpaceDN w:val="0"/>
              <w:adjustRightInd w:val="0"/>
              <w:rPr>
                <w:rFonts w:cs="Arial"/>
                <w:color w:val="000000"/>
                <w:szCs w:val="24"/>
              </w:rPr>
            </w:pPr>
            <w:r w:rsidRPr="00BF5508">
              <w:rPr>
                <w:rFonts w:cs="Arial"/>
                <w:color w:val="000000"/>
                <w:szCs w:val="24"/>
              </w:rPr>
              <w:t>Yorkshire &amp; Humber</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pPr>
              <w:autoSpaceDE w:val="0"/>
              <w:autoSpaceDN w:val="0"/>
              <w:adjustRightInd w:val="0"/>
              <w:jc w:val="right"/>
              <w:rPr>
                <w:rFonts w:cs="Arial"/>
                <w:color w:val="000000"/>
                <w:szCs w:val="24"/>
              </w:rPr>
            </w:pPr>
            <w:r w:rsidRPr="00BF5508">
              <w:rPr>
                <w:rFonts w:cs="Arial"/>
                <w:color w:val="000000"/>
                <w:szCs w:val="24"/>
              </w:rPr>
              <w:t>19,863</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pPr>
              <w:autoSpaceDE w:val="0"/>
              <w:autoSpaceDN w:val="0"/>
              <w:adjustRightInd w:val="0"/>
              <w:jc w:val="right"/>
              <w:rPr>
                <w:rFonts w:cs="Arial"/>
                <w:color w:val="000000"/>
                <w:szCs w:val="24"/>
              </w:rPr>
            </w:pPr>
            <w:r w:rsidRPr="00BF5508">
              <w:rPr>
                <w:rFonts w:cs="Arial"/>
                <w:color w:val="000000"/>
                <w:szCs w:val="24"/>
              </w:rPr>
              <w:t>2.80%</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pPr>
              <w:autoSpaceDE w:val="0"/>
              <w:autoSpaceDN w:val="0"/>
              <w:adjustRightInd w:val="0"/>
              <w:jc w:val="right"/>
              <w:rPr>
                <w:rFonts w:cs="Arial"/>
                <w:color w:val="000000"/>
                <w:szCs w:val="24"/>
              </w:rPr>
            </w:pPr>
            <w:r w:rsidRPr="00BF5508">
              <w:rPr>
                <w:rFonts w:cs="Arial"/>
                <w:color w:val="000000"/>
                <w:szCs w:val="24"/>
              </w:rPr>
              <w:t>106,467</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pPr>
              <w:autoSpaceDE w:val="0"/>
              <w:autoSpaceDN w:val="0"/>
              <w:adjustRightInd w:val="0"/>
              <w:jc w:val="right"/>
              <w:rPr>
                <w:rFonts w:cs="Arial"/>
                <w:color w:val="000000"/>
                <w:szCs w:val="24"/>
              </w:rPr>
            </w:pPr>
            <w:r w:rsidRPr="00BF5508">
              <w:rPr>
                <w:rFonts w:cs="Arial"/>
                <w:color w:val="000000"/>
                <w:szCs w:val="24"/>
              </w:rPr>
              <w:t>3.30%</w:t>
            </w:r>
          </w:p>
        </w:tc>
        <w:tc>
          <w:tcPr>
            <w:tcW w:w="1608" w:type="dxa"/>
            <w:tcBorders>
              <w:top w:val="single" w:sz="6" w:space="0" w:color="auto"/>
              <w:left w:val="single" w:sz="6" w:space="0" w:color="auto"/>
              <w:bottom w:val="single" w:sz="6" w:space="0" w:color="auto"/>
              <w:right w:val="single" w:sz="6" w:space="0" w:color="auto"/>
            </w:tcBorders>
            <w:shd w:val="solid" w:color="C0C0C0" w:fill="auto"/>
          </w:tcPr>
          <w:p w:rsidR="00BF5508" w:rsidRPr="00BF5508" w:rsidRDefault="00BF5508">
            <w:pPr>
              <w:autoSpaceDE w:val="0"/>
              <w:autoSpaceDN w:val="0"/>
              <w:adjustRightInd w:val="0"/>
              <w:jc w:val="right"/>
              <w:rPr>
                <w:rFonts w:cs="Arial"/>
                <w:color w:val="000000"/>
                <w:szCs w:val="24"/>
              </w:rPr>
            </w:pPr>
          </w:p>
        </w:tc>
      </w:tr>
      <w:tr w:rsidR="00BF5508" w:rsidTr="00BF5508">
        <w:trPr>
          <w:trHeight w:val="247"/>
        </w:trPr>
        <w:tc>
          <w:tcPr>
            <w:tcW w:w="2114" w:type="dxa"/>
            <w:tcBorders>
              <w:top w:val="single" w:sz="6" w:space="0" w:color="auto"/>
              <w:left w:val="single" w:sz="6" w:space="0" w:color="auto"/>
              <w:bottom w:val="single" w:sz="6" w:space="0" w:color="auto"/>
              <w:right w:val="single" w:sz="6" w:space="0" w:color="auto"/>
            </w:tcBorders>
          </w:tcPr>
          <w:p w:rsidR="00BF5508" w:rsidRPr="00BF5508" w:rsidRDefault="00BF5508">
            <w:pPr>
              <w:autoSpaceDE w:val="0"/>
              <w:autoSpaceDN w:val="0"/>
              <w:adjustRightInd w:val="0"/>
              <w:rPr>
                <w:rFonts w:cs="Arial"/>
                <w:color w:val="000000"/>
                <w:szCs w:val="24"/>
              </w:rPr>
            </w:pPr>
            <w:r w:rsidRPr="00BF5508">
              <w:rPr>
                <w:rFonts w:cs="Arial"/>
                <w:color w:val="000000"/>
                <w:szCs w:val="24"/>
              </w:rPr>
              <w:t>United Kingdom</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pPr>
              <w:autoSpaceDE w:val="0"/>
              <w:autoSpaceDN w:val="0"/>
              <w:adjustRightInd w:val="0"/>
              <w:jc w:val="right"/>
              <w:rPr>
                <w:rFonts w:cs="Arial"/>
                <w:color w:val="000000"/>
                <w:szCs w:val="24"/>
              </w:rPr>
            </w:pPr>
            <w:r w:rsidRPr="00BF5508">
              <w:rPr>
                <w:rFonts w:cs="Arial"/>
                <w:color w:val="000000"/>
                <w:szCs w:val="24"/>
              </w:rPr>
              <w:t>24,958</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pPr>
              <w:autoSpaceDE w:val="0"/>
              <w:autoSpaceDN w:val="0"/>
              <w:adjustRightInd w:val="0"/>
              <w:jc w:val="right"/>
              <w:rPr>
                <w:rFonts w:cs="Arial"/>
                <w:color w:val="000000"/>
                <w:szCs w:val="24"/>
              </w:rPr>
            </w:pPr>
            <w:r w:rsidRPr="00BF5508">
              <w:rPr>
                <w:rFonts w:cs="Arial"/>
                <w:color w:val="000000"/>
                <w:szCs w:val="24"/>
              </w:rPr>
              <w:t>3.40%</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pPr>
              <w:autoSpaceDE w:val="0"/>
              <w:autoSpaceDN w:val="0"/>
              <w:adjustRightInd w:val="0"/>
              <w:jc w:val="right"/>
              <w:rPr>
                <w:rFonts w:cs="Arial"/>
                <w:color w:val="000000"/>
                <w:szCs w:val="24"/>
              </w:rPr>
            </w:pPr>
            <w:r w:rsidRPr="00BF5508">
              <w:rPr>
                <w:rFonts w:cs="Arial"/>
                <w:color w:val="000000"/>
                <w:szCs w:val="24"/>
              </w:rPr>
              <w:t>1,618,346</w:t>
            </w:r>
          </w:p>
        </w:tc>
        <w:tc>
          <w:tcPr>
            <w:tcW w:w="1608" w:type="dxa"/>
            <w:tcBorders>
              <w:top w:val="single" w:sz="6" w:space="0" w:color="auto"/>
              <w:left w:val="single" w:sz="6" w:space="0" w:color="auto"/>
              <w:bottom w:val="single" w:sz="6" w:space="0" w:color="auto"/>
              <w:right w:val="single" w:sz="6" w:space="0" w:color="auto"/>
            </w:tcBorders>
          </w:tcPr>
          <w:p w:rsidR="00BF5508" w:rsidRPr="00BF5508" w:rsidRDefault="00BF5508">
            <w:pPr>
              <w:autoSpaceDE w:val="0"/>
              <w:autoSpaceDN w:val="0"/>
              <w:adjustRightInd w:val="0"/>
              <w:jc w:val="right"/>
              <w:rPr>
                <w:rFonts w:cs="Arial"/>
                <w:color w:val="000000"/>
                <w:szCs w:val="24"/>
              </w:rPr>
            </w:pPr>
            <w:r w:rsidRPr="00BF5508">
              <w:rPr>
                <w:rFonts w:cs="Arial"/>
                <w:color w:val="000000"/>
                <w:szCs w:val="24"/>
              </w:rPr>
              <w:t>4.60%</w:t>
            </w:r>
          </w:p>
        </w:tc>
        <w:tc>
          <w:tcPr>
            <w:tcW w:w="1608" w:type="dxa"/>
            <w:tcBorders>
              <w:top w:val="single" w:sz="6" w:space="0" w:color="auto"/>
              <w:left w:val="single" w:sz="6" w:space="0" w:color="auto"/>
              <w:bottom w:val="single" w:sz="6" w:space="0" w:color="auto"/>
              <w:right w:val="single" w:sz="6" w:space="0" w:color="auto"/>
            </w:tcBorders>
            <w:shd w:val="solid" w:color="C0C0C0" w:fill="auto"/>
          </w:tcPr>
          <w:p w:rsidR="00BF5508" w:rsidRPr="00BF5508" w:rsidRDefault="00BF5508">
            <w:pPr>
              <w:autoSpaceDE w:val="0"/>
              <w:autoSpaceDN w:val="0"/>
              <w:adjustRightInd w:val="0"/>
              <w:jc w:val="right"/>
              <w:rPr>
                <w:rFonts w:cs="Arial"/>
                <w:color w:val="000000"/>
                <w:szCs w:val="24"/>
              </w:rPr>
            </w:pPr>
          </w:p>
        </w:tc>
      </w:tr>
    </w:tbl>
    <w:p w:rsidR="00BF5508" w:rsidRPr="00BF5508" w:rsidRDefault="00BF5508" w:rsidP="00BF5508">
      <w:pPr>
        <w:rPr>
          <w:rFonts w:eastAsia="Times New Roman" w:cs="Arial"/>
          <w:i/>
          <w:color w:val="000000"/>
          <w:sz w:val="22"/>
          <w:lang w:eastAsia="en-GB"/>
        </w:rPr>
      </w:pPr>
      <w:r w:rsidRPr="00BF5508">
        <w:rPr>
          <w:rFonts w:eastAsia="Times New Roman" w:cs="Arial"/>
          <w:i/>
          <w:color w:val="000000"/>
          <w:sz w:val="22"/>
          <w:lang w:eastAsia="en-GB"/>
        </w:rPr>
        <w:t>Source: Regional Accounts , Office for National Statistics ( * 2014 data is provisional )</w:t>
      </w:r>
    </w:p>
    <w:p w:rsidR="00BF5508" w:rsidRDefault="00BF5508" w:rsidP="00E016D0">
      <w:pPr>
        <w:ind w:right="-1"/>
        <w:rPr>
          <w:rFonts w:cs="Arial"/>
          <w:color w:val="FF0000"/>
          <w:lang w:val="en-US"/>
        </w:rPr>
      </w:pPr>
    </w:p>
    <w:p w:rsidR="009169EA" w:rsidRPr="009169EA" w:rsidRDefault="009169EA" w:rsidP="00E016D0">
      <w:pPr>
        <w:pStyle w:val="Heading1"/>
        <w:ind w:right="-1"/>
      </w:pPr>
      <w:r w:rsidRPr="009169EA">
        <w:t xml:space="preserve">Businesses in Bradford </w:t>
      </w:r>
    </w:p>
    <w:p w:rsidR="009169EA" w:rsidRPr="008F1636" w:rsidRDefault="009169EA" w:rsidP="00500D60">
      <w:pPr>
        <w:spacing w:after="120"/>
        <w:rPr>
          <w:rFonts w:cs="Arial"/>
        </w:rPr>
      </w:pPr>
      <w:r w:rsidRPr="008F1636">
        <w:rPr>
          <w:rFonts w:cs="Arial"/>
        </w:rPr>
        <w:t xml:space="preserve">The onset of the recession in 2008 resulted in significant falls in business numbers and employee jobs across Bradford District. Following the recession Bradford has experienced a big improvement that has seen business numbers exceed pre recession levels.  </w:t>
      </w:r>
    </w:p>
    <w:p w:rsidR="009169EA" w:rsidRPr="008F1636" w:rsidRDefault="009169EA" w:rsidP="00500D60">
      <w:pPr>
        <w:spacing w:after="120"/>
        <w:rPr>
          <w:rFonts w:cs="Arial"/>
        </w:rPr>
      </w:pPr>
      <w:r w:rsidRPr="008F1636">
        <w:rPr>
          <w:rFonts w:cs="Arial"/>
        </w:rPr>
        <w:t>Between 2011 and 2015, the number of businesses in</w:t>
      </w:r>
      <w:r w:rsidR="001830C1">
        <w:rPr>
          <w:rFonts w:cs="Arial"/>
        </w:rPr>
        <w:t xml:space="preserve"> the District increased by 2,470 to 17,620</w:t>
      </w:r>
      <w:r w:rsidRPr="008F1636">
        <w:rPr>
          <w:rFonts w:cs="Arial"/>
        </w:rPr>
        <w:t>. T</w:t>
      </w:r>
      <w:r w:rsidR="001830C1">
        <w:rPr>
          <w:rFonts w:cs="Arial"/>
        </w:rPr>
        <w:t>his was an increase of 16</w:t>
      </w:r>
      <w:r w:rsidRPr="008F1636">
        <w:rPr>
          <w:rFonts w:cs="Arial"/>
        </w:rPr>
        <w:t>.3% which was slightly lower tha</w:t>
      </w:r>
      <w:r w:rsidR="001D186B">
        <w:rPr>
          <w:rFonts w:cs="Arial"/>
        </w:rPr>
        <w:t>n the City Region growth of 17.4 % and below  UK growth of 18</w:t>
      </w:r>
      <w:r w:rsidRPr="008F1636">
        <w:rPr>
          <w:rFonts w:cs="Arial"/>
        </w:rPr>
        <w:t>.1%. Bradford accounts for 14.3% of all businesses in the Leeds City Region which is lower than our share</w:t>
      </w:r>
      <w:r w:rsidR="00614C19" w:rsidRPr="008F1636">
        <w:rPr>
          <w:rFonts w:cs="Arial"/>
        </w:rPr>
        <w:t xml:space="preserve"> of work age people at 17.3%.  </w:t>
      </w:r>
      <w:r>
        <w:rPr>
          <w:rFonts w:cs="Arial"/>
        </w:rPr>
        <w:tab/>
      </w:r>
    </w:p>
    <w:tbl>
      <w:tblPr>
        <w:tblW w:w="9378" w:type="dxa"/>
        <w:jc w:val="center"/>
        <w:tblInd w:w="103" w:type="dxa"/>
        <w:tblLayout w:type="fixed"/>
        <w:tblLook w:val="0000" w:firstRow="0" w:lastRow="0" w:firstColumn="0" w:lastColumn="0" w:noHBand="0" w:noVBand="0"/>
      </w:tblPr>
      <w:tblGrid>
        <w:gridCol w:w="3831"/>
        <w:gridCol w:w="1849"/>
        <w:gridCol w:w="1849"/>
        <w:gridCol w:w="1849"/>
      </w:tblGrid>
      <w:tr w:rsidR="009169EA" w:rsidRPr="00CB5D24" w:rsidTr="00614C19">
        <w:trPr>
          <w:trHeight w:val="271"/>
          <w:jc w:val="center"/>
        </w:trPr>
        <w:tc>
          <w:tcPr>
            <w:tcW w:w="38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rsidR="009169EA" w:rsidRPr="00614C19" w:rsidRDefault="009169EA" w:rsidP="00E016D0">
            <w:pPr>
              <w:ind w:right="-1"/>
              <w:rPr>
                <w:rFonts w:cs="Arial"/>
                <w:b/>
                <w:bCs/>
                <w:color w:val="FFFFFF" w:themeColor="background1"/>
                <w:szCs w:val="20"/>
              </w:rPr>
            </w:pPr>
            <w:r w:rsidRPr="00614C19">
              <w:rPr>
                <w:rFonts w:cs="Arial"/>
                <w:b/>
                <w:bCs/>
                <w:color w:val="FFFFFF" w:themeColor="background1"/>
                <w:szCs w:val="20"/>
              </w:rPr>
              <w:t>Business Numbers</w:t>
            </w:r>
          </w:p>
        </w:tc>
        <w:tc>
          <w:tcPr>
            <w:tcW w:w="1849" w:type="dxa"/>
            <w:tcBorders>
              <w:top w:val="single" w:sz="4" w:space="0" w:color="auto"/>
              <w:left w:val="nil"/>
              <w:bottom w:val="single" w:sz="4" w:space="0" w:color="auto"/>
              <w:right w:val="single" w:sz="4" w:space="0" w:color="auto"/>
            </w:tcBorders>
            <w:shd w:val="clear" w:color="auto" w:fill="4F81BD" w:themeFill="accent1"/>
            <w:noWrap/>
            <w:vAlign w:val="center"/>
          </w:tcPr>
          <w:p w:rsidR="009169EA" w:rsidRPr="00614C19" w:rsidRDefault="009169EA" w:rsidP="00E016D0">
            <w:pPr>
              <w:ind w:right="-1"/>
              <w:jc w:val="center"/>
              <w:rPr>
                <w:rFonts w:cs="Arial"/>
                <w:b/>
                <w:bCs/>
                <w:color w:val="FFFFFF" w:themeColor="background1"/>
                <w:szCs w:val="20"/>
              </w:rPr>
            </w:pPr>
            <w:r w:rsidRPr="00614C19">
              <w:rPr>
                <w:rFonts w:cs="Arial"/>
                <w:b/>
                <w:bCs/>
                <w:color w:val="FFFFFF" w:themeColor="background1"/>
                <w:szCs w:val="20"/>
              </w:rPr>
              <w:t>Bradford</w:t>
            </w:r>
          </w:p>
        </w:tc>
        <w:tc>
          <w:tcPr>
            <w:tcW w:w="1849" w:type="dxa"/>
            <w:tcBorders>
              <w:top w:val="single" w:sz="4" w:space="0" w:color="auto"/>
              <w:left w:val="nil"/>
              <w:bottom w:val="single" w:sz="4" w:space="0" w:color="auto"/>
              <w:right w:val="single" w:sz="4" w:space="0" w:color="auto"/>
            </w:tcBorders>
            <w:shd w:val="clear" w:color="auto" w:fill="4F81BD" w:themeFill="accent1"/>
            <w:vAlign w:val="center"/>
          </w:tcPr>
          <w:p w:rsidR="009169EA" w:rsidRPr="00614C19" w:rsidRDefault="009169EA" w:rsidP="00E016D0">
            <w:pPr>
              <w:ind w:right="-1"/>
              <w:jc w:val="center"/>
              <w:rPr>
                <w:rFonts w:cs="Arial"/>
                <w:b/>
                <w:bCs/>
                <w:color w:val="FFFFFF" w:themeColor="background1"/>
                <w:szCs w:val="20"/>
              </w:rPr>
            </w:pPr>
            <w:r w:rsidRPr="00614C19">
              <w:rPr>
                <w:rFonts w:cs="Arial"/>
                <w:b/>
                <w:bCs/>
                <w:color w:val="FFFFFF" w:themeColor="background1"/>
                <w:szCs w:val="20"/>
              </w:rPr>
              <w:t>Leeds City Region</w:t>
            </w:r>
          </w:p>
        </w:tc>
        <w:tc>
          <w:tcPr>
            <w:tcW w:w="1849" w:type="dxa"/>
            <w:tcBorders>
              <w:top w:val="single" w:sz="4" w:space="0" w:color="auto"/>
              <w:left w:val="nil"/>
              <w:bottom w:val="single" w:sz="4" w:space="0" w:color="auto"/>
              <w:right w:val="single" w:sz="4" w:space="0" w:color="auto"/>
            </w:tcBorders>
            <w:shd w:val="clear" w:color="auto" w:fill="4F81BD" w:themeFill="accent1"/>
            <w:noWrap/>
            <w:vAlign w:val="center"/>
          </w:tcPr>
          <w:p w:rsidR="009169EA" w:rsidRPr="00614C19" w:rsidRDefault="009169EA" w:rsidP="00E016D0">
            <w:pPr>
              <w:ind w:right="-1"/>
              <w:jc w:val="center"/>
              <w:rPr>
                <w:rFonts w:cs="Arial"/>
                <w:b/>
                <w:bCs/>
                <w:color w:val="FFFFFF" w:themeColor="background1"/>
                <w:szCs w:val="20"/>
              </w:rPr>
            </w:pPr>
            <w:r w:rsidRPr="00614C19">
              <w:rPr>
                <w:rFonts w:cs="Arial"/>
                <w:b/>
                <w:bCs/>
                <w:color w:val="FFFFFF" w:themeColor="background1"/>
                <w:szCs w:val="20"/>
              </w:rPr>
              <w:t>UK</w:t>
            </w:r>
          </w:p>
        </w:tc>
      </w:tr>
      <w:tr w:rsidR="009169EA" w:rsidTr="00614C19">
        <w:trPr>
          <w:trHeight w:val="291"/>
          <w:jc w:val="center"/>
        </w:trPr>
        <w:tc>
          <w:tcPr>
            <w:tcW w:w="3831" w:type="dxa"/>
            <w:tcBorders>
              <w:top w:val="nil"/>
              <w:left w:val="single" w:sz="4" w:space="0" w:color="auto"/>
              <w:bottom w:val="single" w:sz="4" w:space="0" w:color="C0C0C0"/>
              <w:right w:val="single" w:sz="4" w:space="0" w:color="auto"/>
            </w:tcBorders>
            <w:noWrap/>
            <w:vAlign w:val="bottom"/>
          </w:tcPr>
          <w:p w:rsidR="009169EA" w:rsidRPr="00953B22" w:rsidRDefault="009169EA" w:rsidP="00E016D0">
            <w:pPr>
              <w:ind w:right="-1"/>
              <w:rPr>
                <w:rFonts w:cs="Arial"/>
                <w:sz w:val="22"/>
              </w:rPr>
            </w:pPr>
            <w:r w:rsidRPr="00953B22">
              <w:rPr>
                <w:rFonts w:cs="Arial"/>
                <w:sz w:val="22"/>
              </w:rPr>
              <w:t>Total businesses 2015</w:t>
            </w:r>
          </w:p>
        </w:tc>
        <w:tc>
          <w:tcPr>
            <w:tcW w:w="1849" w:type="dxa"/>
            <w:tcBorders>
              <w:top w:val="nil"/>
              <w:left w:val="nil"/>
              <w:bottom w:val="single" w:sz="4" w:space="0" w:color="C0C0C0"/>
              <w:right w:val="single" w:sz="4" w:space="0" w:color="auto"/>
            </w:tcBorders>
            <w:noWrap/>
            <w:vAlign w:val="bottom"/>
          </w:tcPr>
          <w:p w:rsidR="009169EA" w:rsidRPr="00953B22" w:rsidRDefault="001830C1" w:rsidP="00E016D0">
            <w:pPr>
              <w:ind w:right="-1"/>
              <w:jc w:val="right"/>
              <w:rPr>
                <w:rFonts w:cs="Arial"/>
                <w:sz w:val="22"/>
              </w:rPr>
            </w:pPr>
            <w:r>
              <w:rPr>
                <w:rFonts w:cs="Arial"/>
                <w:sz w:val="22"/>
              </w:rPr>
              <w:t>17,620</w:t>
            </w:r>
          </w:p>
        </w:tc>
        <w:tc>
          <w:tcPr>
            <w:tcW w:w="1849" w:type="dxa"/>
            <w:tcBorders>
              <w:top w:val="nil"/>
              <w:left w:val="nil"/>
              <w:bottom w:val="single" w:sz="4" w:space="0" w:color="C0C0C0"/>
              <w:right w:val="single" w:sz="4" w:space="0" w:color="auto"/>
            </w:tcBorders>
            <w:noWrap/>
            <w:vAlign w:val="bottom"/>
          </w:tcPr>
          <w:p w:rsidR="009169EA" w:rsidRPr="00953B22" w:rsidRDefault="003A546A" w:rsidP="00E016D0">
            <w:pPr>
              <w:ind w:right="-1"/>
              <w:jc w:val="right"/>
              <w:rPr>
                <w:rFonts w:cs="Arial"/>
                <w:sz w:val="22"/>
              </w:rPr>
            </w:pPr>
            <w:r>
              <w:rPr>
                <w:rFonts w:cs="Arial"/>
                <w:sz w:val="22"/>
              </w:rPr>
              <w:t>121,635</w:t>
            </w:r>
          </w:p>
        </w:tc>
        <w:tc>
          <w:tcPr>
            <w:tcW w:w="1849" w:type="dxa"/>
            <w:tcBorders>
              <w:top w:val="nil"/>
              <w:left w:val="nil"/>
              <w:bottom w:val="single" w:sz="4" w:space="0" w:color="C0C0C0"/>
              <w:right w:val="single" w:sz="4" w:space="0" w:color="auto"/>
            </w:tcBorders>
            <w:noWrap/>
            <w:vAlign w:val="bottom"/>
          </w:tcPr>
          <w:p w:rsidR="009169EA" w:rsidRPr="00953B22" w:rsidRDefault="003A546A" w:rsidP="00E016D0">
            <w:pPr>
              <w:ind w:right="-1"/>
              <w:jc w:val="right"/>
              <w:rPr>
                <w:rFonts w:cs="Arial"/>
                <w:sz w:val="22"/>
              </w:rPr>
            </w:pPr>
            <w:r>
              <w:rPr>
                <w:rFonts w:cs="Arial"/>
                <w:sz w:val="22"/>
              </w:rPr>
              <w:t>3,010,060</w:t>
            </w:r>
          </w:p>
        </w:tc>
      </w:tr>
      <w:tr w:rsidR="009169EA" w:rsidTr="00614C19">
        <w:trPr>
          <w:trHeight w:val="291"/>
          <w:jc w:val="center"/>
        </w:trPr>
        <w:tc>
          <w:tcPr>
            <w:tcW w:w="3831" w:type="dxa"/>
            <w:tcBorders>
              <w:top w:val="nil"/>
              <w:left w:val="single" w:sz="4" w:space="0" w:color="auto"/>
              <w:bottom w:val="single" w:sz="4" w:space="0" w:color="C0C0C0"/>
              <w:right w:val="single" w:sz="4" w:space="0" w:color="auto"/>
            </w:tcBorders>
            <w:noWrap/>
            <w:vAlign w:val="bottom"/>
          </w:tcPr>
          <w:p w:rsidR="009169EA" w:rsidRPr="00953B22" w:rsidRDefault="009169EA" w:rsidP="00E016D0">
            <w:pPr>
              <w:ind w:right="-1"/>
              <w:rPr>
                <w:rFonts w:cs="Arial"/>
                <w:sz w:val="22"/>
              </w:rPr>
            </w:pPr>
            <w:r w:rsidRPr="00953B22">
              <w:rPr>
                <w:rFonts w:cs="Arial"/>
                <w:sz w:val="22"/>
              </w:rPr>
              <w:t>Growth in businesses 2011-15</w:t>
            </w:r>
          </w:p>
        </w:tc>
        <w:tc>
          <w:tcPr>
            <w:tcW w:w="1849" w:type="dxa"/>
            <w:tcBorders>
              <w:top w:val="nil"/>
              <w:left w:val="nil"/>
              <w:bottom w:val="single" w:sz="4" w:space="0" w:color="C0C0C0"/>
              <w:right w:val="single" w:sz="4" w:space="0" w:color="auto"/>
            </w:tcBorders>
            <w:noWrap/>
            <w:vAlign w:val="bottom"/>
          </w:tcPr>
          <w:p w:rsidR="009169EA" w:rsidRPr="00953B22" w:rsidRDefault="001830C1" w:rsidP="00E016D0">
            <w:pPr>
              <w:ind w:right="-1"/>
              <w:jc w:val="right"/>
              <w:rPr>
                <w:rFonts w:cs="Arial"/>
                <w:sz w:val="22"/>
              </w:rPr>
            </w:pPr>
            <w:r>
              <w:rPr>
                <w:rFonts w:cs="Arial"/>
                <w:sz w:val="22"/>
              </w:rPr>
              <w:t>2,470</w:t>
            </w:r>
          </w:p>
        </w:tc>
        <w:tc>
          <w:tcPr>
            <w:tcW w:w="1849" w:type="dxa"/>
            <w:tcBorders>
              <w:top w:val="nil"/>
              <w:left w:val="nil"/>
              <w:bottom w:val="single" w:sz="4" w:space="0" w:color="C0C0C0"/>
              <w:right w:val="single" w:sz="4" w:space="0" w:color="auto"/>
            </w:tcBorders>
            <w:noWrap/>
            <w:vAlign w:val="bottom"/>
          </w:tcPr>
          <w:p w:rsidR="009169EA" w:rsidRPr="00953B22" w:rsidRDefault="003A546A" w:rsidP="00E016D0">
            <w:pPr>
              <w:ind w:right="-1"/>
              <w:jc w:val="right"/>
              <w:rPr>
                <w:rFonts w:cs="Arial"/>
                <w:sz w:val="22"/>
              </w:rPr>
            </w:pPr>
            <w:r>
              <w:rPr>
                <w:rFonts w:cs="Arial"/>
                <w:sz w:val="22"/>
              </w:rPr>
              <w:t>18,080</w:t>
            </w:r>
          </w:p>
        </w:tc>
        <w:tc>
          <w:tcPr>
            <w:tcW w:w="1849" w:type="dxa"/>
            <w:tcBorders>
              <w:top w:val="nil"/>
              <w:left w:val="nil"/>
              <w:bottom w:val="single" w:sz="4" w:space="0" w:color="C0C0C0"/>
              <w:right w:val="single" w:sz="4" w:space="0" w:color="auto"/>
            </w:tcBorders>
            <w:noWrap/>
            <w:vAlign w:val="bottom"/>
          </w:tcPr>
          <w:p w:rsidR="009169EA" w:rsidRPr="00953B22" w:rsidRDefault="003A546A" w:rsidP="00E016D0">
            <w:pPr>
              <w:ind w:right="-1"/>
              <w:jc w:val="right"/>
              <w:rPr>
                <w:rFonts w:cs="Arial"/>
                <w:sz w:val="22"/>
              </w:rPr>
            </w:pPr>
            <w:r>
              <w:rPr>
                <w:rFonts w:cs="Arial"/>
                <w:sz w:val="22"/>
              </w:rPr>
              <w:t>462,220</w:t>
            </w:r>
          </w:p>
        </w:tc>
      </w:tr>
      <w:tr w:rsidR="009169EA" w:rsidTr="00614C19">
        <w:trPr>
          <w:trHeight w:val="291"/>
          <w:jc w:val="center"/>
        </w:trPr>
        <w:tc>
          <w:tcPr>
            <w:tcW w:w="3831" w:type="dxa"/>
            <w:tcBorders>
              <w:top w:val="nil"/>
              <w:left w:val="single" w:sz="4" w:space="0" w:color="auto"/>
              <w:bottom w:val="single" w:sz="4" w:space="0" w:color="auto"/>
              <w:right w:val="single" w:sz="4" w:space="0" w:color="auto"/>
            </w:tcBorders>
            <w:noWrap/>
            <w:vAlign w:val="bottom"/>
          </w:tcPr>
          <w:p w:rsidR="009169EA" w:rsidRPr="00953B22" w:rsidRDefault="009169EA" w:rsidP="00E016D0">
            <w:pPr>
              <w:ind w:right="-1"/>
              <w:rPr>
                <w:rFonts w:cs="Arial"/>
                <w:sz w:val="22"/>
              </w:rPr>
            </w:pPr>
            <w:r w:rsidRPr="00953B22">
              <w:rPr>
                <w:rFonts w:cs="Arial"/>
                <w:sz w:val="22"/>
              </w:rPr>
              <w:t>% Growth in businesses 2011-15</w:t>
            </w:r>
          </w:p>
        </w:tc>
        <w:tc>
          <w:tcPr>
            <w:tcW w:w="1849" w:type="dxa"/>
            <w:tcBorders>
              <w:top w:val="nil"/>
              <w:left w:val="nil"/>
              <w:bottom w:val="single" w:sz="4" w:space="0" w:color="auto"/>
              <w:right w:val="single" w:sz="4" w:space="0" w:color="auto"/>
            </w:tcBorders>
            <w:noWrap/>
            <w:vAlign w:val="bottom"/>
          </w:tcPr>
          <w:p w:rsidR="009169EA" w:rsidRPr="00953B22" w:rsidRDefault="001830C1" w:rsidP="00E016D0">
            <w:pPr>
              <w:ind w:right="-1"/>
              <w:jc w:val="right"/>
              <w:rPr>
                <w:rFonts w:cs="Arial"/>
                <w:sz w:val="22"/>
              </w:rPr>
            </w:pPr>
            <w:r>
              <w:rPr>
                <w:rFonts w:cs="Arial"/>
                <w:sz w:val="22"/>
              </w:rPr>
              <w:t>16</w:t>
            </w:r>
            <w:r w:rsidR="009169EA" w:rsidRPr="00953B22">
              <w:rPr>
                <w:rFonts w:cs="Arial"/>
                <w:sz w:val="22"/>
              </w:rPr>
              <w:t>.3%</w:t>
            </w:r>
          </w:p>
        </w:tc>
        <w:tc>
          <w:tcPr>
            <w:tcW w:w="1849" w:type="dxa"/>
            <w:tcBorders>
              <w:top w:val="nil"/>
              <w:left w:val="nil"/>
              <w:bottom w:val="single" w:sz="4" w:space="0" w:color="auto"/>
              <w:right w:val="single" w:sz="4" w:space="0" w:color="auto"/>
            </w:tcBorders>
            <w:noWrap/>
            <w:vAlign w:val="bottom"/>
          </w:tcPr>
          <w:p w:rsidR="009169EA" w:rsidRPr="00953B22" w:rsidRDefault="003A546A" w:rsidP="00E016D0">
            <w:pPr>
              <w:ind w:right="-1"/>
              <w:jc w:val="right"/>
              <w:rPr>
                <w:rFonts w:cs="Arial"/>
                <w:sz w:val="22"/>
              </w:rPr>
            </w:pPr>
            <w:r>
              <w:rPr>
                <w:rFonts w:cs="Arial"/>
                <w:sz w:val="22"/>
              </w:rPr>
              <w:t>17.4</w:t>
            </w:r>
            <w:r w:rsidR="009169EA" w:rsidRPr="00953B22">
              <w:rPr>
                <w:rFonts w:cs="Arial"/>
                <w:sz w:val="22"/>
              </w:rPr>
              <w:t>%</w:t>
            </w:r>
          </w:p>
        </w:tc>
        <w:tc>
          <w:tcPr>
            <w:tcW w:w="1849" w:type="dxa"/>
            <w:tcBorders>
              <w:top w:val="nil"/>
              <w:left w:val="nil"/>
              <w:bottom w:val="single" w:sz="4" w:space="0" w:color="auto"/>
              <w:right w:val="single" w:sz="4" w:space="0" w:color="auto"/>
            </w:tcBorders>
            <w:noWrap/>
            <w:vAlign w:val="bottom"/>
          </w:tcPr>
          <w:p w:rsidR="009169EA" w:rsidRPr="00953B22" w:rsidRDefault="003A546A" w:rsidP="00E016D0">
            <w:pPr>
              <w:ind w:right="-1"/>
              <w:jc w:val="right"/>
              <w:rPr>
                <w:rFonts w:cs="Arial"/>
                <w:sz w:val="22"/>
              </w:rPr>
            </w:pPr>
            <w:r>
              <w:rPr>
                <w:rFonts w:cs="Arial"/>
                <w:sz w:val="22"/>
              </w:rPr>
              <w:t>18</w:t>
            </w:r>
            <w:r w:rsidR="009169EA" w:rsidRPr="00953B22">
              <w:rPr>
                <w:rFonts w:cs="Arial"/>
                <w:sz w:val="22"/>
              </w:rPr>
              <w:t>.1%</w:t>
            </w:r>
          </w:p>
        </w:tc>
      </w:tr>
    </w:tbl>
    <w:p w:rsidR="008B6BDB" w:rsidRDefault="008B6BDB" w:rsidP="00500D60">
      <w:pPr>
        <w:spacing w:after="120"/>
        <w:rPr>
          <w:rFonts w:cs="Arial"/>
        </w:rPr>
      </w:pPr>
    </w:p>
    <w:p w:rsidR="009169EA" w:rsidRPr="008F1636" w:rsidRDefault="009169EA" w:rsidP="00500D60">
      <w:pPr>
        <w:spacing w:after="120"/>
        <w:rPr>
          <w:rFonts w:cs="Arial"/>
        </w:rPr>
      </w:pPr>
      <w:r w:rsidRPr="008F1636">
        <w:rPr>
          <w:rFonts w:cs="Arial"/>
        </w:rPr>
        <w:t>Bradford recently ranked 11th in a list of the top locations for start-up businesses in the UK by the Centre for Entrepreneurs (CFE). The study found that 2015 was a record year for British start-ups. London topped the list, followed by Manchester, Birmingham and Leeds.  Sheffield came in 13th.</w:t>
      </w:r>
    </w:p>
    <w:p w:rsidR="009169EA" w:rsidRPr="009169EA" w:rsidRDefault="009169EA" w:rsidP="000E22C9">
      <w:pPr>
        <w:pStyle w:val="Heading1"/>
        <w:ind w:right="-1"/>
      </w:pPr>
      <w:r w:rsidRPr="009169EA">
        <w:lastRenderedPageBreak/>
        <w:t>Businesses by Size</w:t>
      </w:r>
    </w:p>
    <w:p w:rsidR="009169EA" w:rsidRDefault="009169EA" w:rsidP="000E22C9">
      <w:pPr>
        <w:keepNext/>
        <w:keepLines/>
        <w:spacing w:after="120"/>
        <w:rPr>
          <w:rFonts w:cs="Arial"/>
        </w:rPr>
      </w:pPr>
      <w:r w:rsidRPr="008F1636">
        <w:rPr>
          <w:rFonts w:cs="Arial"/>
        </w:rPr>
        <w:t xml:space="preserve">The majority of businesses in </w:t>
      </w:r>
      <w:smartTag w:uri="urn:schemas-microsoft-com:office:smarttags" w:element="place">
        <w:r w:rsidRPr="008F1636">
          <w:rPr>
            <w:rFonts w:cs="Arial"/>
          </w:rPr>
          <w:t>Bradford</w:t>
        </w:r>
      </w:smartTag>
      <w:r w:rsidRPr="008F1636">
        <w:rPr>
          <w:rFonts w:cs="Arial"/>
        </w:rPr>
        <w:t xml:space="preserve"> are micro business with 82% of all businesses employing less than 10 people. There are only 665 businesses employing 50 or more people which is 3.9% of all businesses compared to 3.7% across Leeds City Region as whole and 3.1% nationally. Bradford is slightly more </w:t>
      </w:r>
      <w:r w:rsidR="00614C19" w:rsidRPr="008F1636">
        <w:rPr>
          <w:rFonts w:cs="Arial"/>
        </w:rPr>
        <w:t xml:space="preserve">dependant on larger employers. </w:t>
      </w:r>
    </w:p>
    <w:tbl>
      <w:tblPr>
        <w:tblW w:w="9185" w:type="dxa"/>
        <w:jc w:val="center"/>
        <w:tblInd w:w="103" w:type="dxa"/>
        <w:tblLayout w:type="fixed"/>
        <w:tblLook w:val="0000" w:firstRow="0" w:lastRow="0" w:firstColumn="0" w:lastColumn="0" w:noHBand="0" w:noVBand="0"/>
      </w:tblPr>
      <w:tblGrid>
        <w:gridCol w:w="2705"/>
        <w:gridCol w:w="1620"/>
        <w:gridCol w:w="1620"/>
        <w:gridCol w:w="1620"/>
        <w:gridCol w:w="1620"/>
      </w:tblGrid>
      <w:tr w:rsidR="009169EA" w:rsidRPr="00CB5D24" w:rsidTr="00614C19">
        <w:trPr>
          <w:trHeight w:val="238"/>
          <w:jc w:val="center"/>
        </w:trPr>
        <w:tc>
          <w:tcPr>
            <w:tcW w:w="270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rsidR="009169EA" w:rsidRPr="00614C19" w:rsidRDefault="009169EA" w:rsidP="000E22C9">
            <w:pPr>
              <w:keepNext/>
              <w:keepLines/>
              <w:ind w:right="-1"/>
              <w:rPr>
                <w:rFonts w:cs="Arial"/>
                <w:b/>
                <w:bCs/>
                <w:color w:val="FFFFFF" w:themeColor="background1"/>
                <w:szCs w:val="20"/>
              </w:rPr>
            </w:pPr>
            <w:r w:rsidRPr="00614C19">
              <w:rPr>
                <w:rFonts w:cs="Arial"/>
                <w:b/>
                <w:bCs/>
                <w:color w:val="FFFFFF" w:themeColor="background1"/>
                <w:szCs w:val="20"/>
              </w:rPr>
              <w:t>Business by Sector</w:t>
            </w:r>
          </w:p>
        </w:tc>
        <w:tc>
          <w:tcPr>
            <w:tcW w:w="3240" w:type="dxa"/>
            <w:gridSpan w:val="2"/>
            <w:tcBorders>
              <w:top w:val="single" w:sz="4" w:space="0" w:color="auto"/>
              <w:left w:val="nil"/>
              <w:bottom w:val="single" w:sz="4" w:space="0" w:color="auto"/>
              <w:right w:val="single" w:sz="4" w:space="0" w:color="auto"/>
            </w:tcBorders>
            <w:shd w:val="clear" w:color="auto" w:fill="4F81BD" w:themeFill="accent1"/>
            <w:noWrap/>
            <w:vAlign w:val="center"/>
          </w:tcPr>
          <w:p w:rsidR="009169EA" w:rsidRPr="00614C19" w:rsidRDefault="009169EA" w:rsidP="000E22C9">
            <w:pPr>
              <w:keepNext/>
              <w:keepLines/>
              <w:ind w:right="-1"/>
              <w:jc w:val="center"/>
              <w:rPr>
                <w:rFonts w:cs="Arial"/>
                <w:b/>
                <w:bCs/>
                <w:color w:val="FFFFFF" w:themeColor="background1"/>
                <w:szCs w:val="20"/>
              </w:rPr>
            </w:pPr>
            <w:smartTag w:uri="urn:schemas-microsoft-com:office:smarttags" w:element="place">
              <w:r w:rsidRPr="00614C19">
                <w:rPr>
                  <w:rFonts w:cs="Arial"/>
                  <w:b/>
                  <w:bCs/>
                  <w:color w:val="FFFFFF" w:themeColor="background1"/>
                  <w:szCs w:val="20"/>
                </w:rPr>
                <w:t>Bradford</w:t>
              </w:r>
            </w:smartTag>
          </w:p>
        </w:tc>
        <w:tc>
          <w:tcPr>
            <w:tcW w:w="1620" w:type="dxa"/>
            <w:tcBorders>
              <w:top w:val="single" w:sz="4" w:space="0" w:color="auto"/>
              <w:left w:val="nil"/>
              <w:bottom w:val="single" w:sz="4" w:space="0" w:color="auto"/>
              <w:right w:val="single" w:sz="4" w:space="0" w:color="auto"/>
            </w:tcBorders>
            <w:shd w:val="clear" w:color="auto" w:fill="4F81BD" w:themeFill="accent1"/>
            <w:vAlign w:val="center"/>
          </w:tcPr>
          <w:p w:rsidR="009169EA" w:rsidRPr="00614C19" w:rsidRDefault="009169EA" w:rsidP="000E22C9">
            <w:pPr>
              <w:keepNext/>
              <w:keepLines/>
              <w:ind w:right="-1"/>
              <w:jc w:val="center"/>
              <w:rPr>
                <w:rFonts w:cs="Arial"/>
                <w:b/>
                <w:bCs/>
                <w:color w:val="FFFFFF" w:themeColor="background1"/>
                <w:szCs w:val="20"/>
              </w:rPr>
            </w:pPr>
            <w:smartTag w:uri="urn:schemas-microsoft-com:office:smarttags" w:element="place">
              <w:smartTag w:uri="urn:schemas-microsoft-com:office:smarttags" w:element="PlaceName">
                <w:smartTag w:uri="urn:schemas-microsoft-com:office:smarttags" w:element="PlaceName">
                  <w:r w:rsidRPr="00614C19">
                    <w:rPr>
                      <w:rFonts w:cs="Arial"/>
                      <w:b/>
                      <w:bCs/>
                      <w:color w:val="FFFFFF" w:themeColor="background1"/>
                      <w:szCs w:val="20"/>
                    </w:rPr>
                    <w:t>Leeds</w:t>
                  </w:r>
                </w:smartTag>
                <w:r w:rsidRPr="00614C19">
                  <w:rPr>
                    <w:rFonts w:cs="Arial"/>
                    <w:b/>
                    <w:bCs/>
                    <w:color w:val="FFFFFF" w:themeColor="background1"/>
                    <w:szCs w:val="20"/>
                  </w:rPr>
                  <w:t xml:space="preserve"> </w:t>
                </w:r>
                <w:smartTag w:uri="urn:schemas-microsoft-com:office:smarttags" w:element="PlaceType">
                  <w:r w:rsidRPr="00614C19">
                    <w:rPr>
                      <w:rFonts w:cs="Arial"/>
                      <w:b/>
                      <w:bCs/>
                      <w:color w:val="FFFFFF" w:themeColor="background1"/>
                      <w:szCs w:val="20"/>
                    </w:rPr>
                    <w:t>City</w:t>
                  </w:r>
                </w:smartTag>
              </w:smartTag>
            </w:smartTag>
            <w:r w:rsidRPr="00614C19">
              <w:rPr>
                <w:rFonts w:cs="Arial"/>
                <w:b/>
                <w:bCs/>
                <w:color w:val="FFFFFF" w:themeColor="background1"/>
                <w:szCs w:val="20"/>
              </w:rPr>
              <w:t xml:space="preserve"> Region</w:t>
            </w:r>
          </w:p>
        </w:tc>
        <w:tc>
          <w:tcPr>
            <w:tcW w:w="1620"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rsidR="009169EA" w:rsidRPr="00614C19" w:rsidRDefault="009169EA" w:rsidP="000E22C9">
            <w:pPr>
              <w:keepNext/>
              <w:keepLines/>
              <w:ind w:right="-1"/>
              <w:jc w:val="center"/>
              <w:rPr>
                <w:rFonts w:cs="Arial"/>
                <w:b/>
                <w:bCs/>
                <w:color w:val="FFFFFF" w:themeColor="background1"/>
                <w:szCs w:val="20"/>
              </w:rPr>
            </w:pPr>
            <w:smartTag w:uri="urn:schemas-microsoft-com:office:smarttags" w:element="place">
              <w:smartTag w:uri="urn:schemas-microsoft-com:office:smarttags" w:element="country-region">
                <w:r w:rsidRPr="00614C19">
                  <w:rPr>
                    <w:rFonts w:cs="Arial"/>
                    <w:b/>
                    <w:bCs/>
                    <w:color w:val="FFFFFF" w:themeColor="background1"/>
                    <w:szCs w:val="20"/>
                  </w:rPr>
                  <w:t>UK</w:t>
                </w:r>
              </w:smartTag>
            </w:smartTag>
          </w:p>
        </w:tc>
      </w:tr>
      <w:tr w:rsidR="009169EA" w:rsidTr="00614C19">
        <w:trPr>
          <w:trHeight w:val="255"/>
          <w:jc w:val="center"/>
        </w:trPr>
        <w:tc>
          <w:tcPr>
            <w:tcW w:w="2705" w:type="dxa"/>
            <w:tcBorders>
              <w:top w:val="single" w:sz="4" w:space="0" w:color="auto"/>
              <w:left w:val="single" w:sz="4" w:space="0" w:color="auto"/>
              <w:bottom w:val="single" w:sz="4" w:space="0" w:color="auto"/>
              <w:right w:val="single" w:sz="4" w:space="0" w:color="auto"/>
            </w:tcBorders>
            <w:noWrap/>
            <w:vAlign w:val="bottom"/>
          </w:tcPr>
          <w:p w:rsidR="009169EA" w:rsidRDefault="009169EA" w:rsidP="000E22C9">
            <w:pPr>
              <w:keepNext/>
              <w:keepLines/>
              <w:ind w:right="-1"/>
              <w:rPr>
                <w:rFonts w:cs="Arial"/>
                <w:sz w:val="20"/>
                <w:szCs w:val="20"/>
              </w:rPr>
            </w:pPr>
          </w:p>
        </w:tc>
        <w:tc>
          <w:tcPr>
            <w:tcW w:w="1620" w:type="dxa"/>
            <w:tcBorders>
              <w:top w:val="single" w:sz="4" w:space="0" w:color="auto"/>
              <w:left w:val="nil"/>
              <w:bottom w:val="single" w:sz="4" w:space="0" w:color="auto"/>
              <w:right w:val="single" w:sz="4" w:space="0" w:color="auto"/>
            </w:tcBorders>
            <w:noWrap/>
            <w:vAlign w:val="bottom"/>
          </w:tcPr>
          <w:p w:rsidR="009169EA" w:rsidRDefault="009169EA" w:rsidP="000E22C9">
            <w:pPr>
              <w:keepNext/>
              <w:keepLines/>
              <w:ind w:right="-1"/>
              <w:jc w:val="center"/>
              <w:rPr>
                <w:rFonts w:cs="Arial"/>
                <w:sz w:val="20"/>
                <w:szCs w:val="20"/>
              </w:rPr>
            </w:pPr>
            <w:r>
              <w:rPr>
                <w:rFonts w:cs="Arial"/>
                <w:sz w:val="20"/>
                <w:szCs w:val="20"/>
              </w:rPr>
              <w:t>Number</w:t>
            </w:r>
          </w:p>
        </w:tc>
        <w:tc>
          <w:tcPr>
            <w:tcW w:w="1620" w:type="dxa"/>
            <w:tcBorders>
              <w:top w:val="single" w:sz="4" w:space="0" w:color="auto"/>
              <w:left w:val="nil"/>
              <w:bottom w:val="single" w:sz="4" w:space="0" w:color="auto"/>
              <w:right w:val="single" w:sz="4" w:space="0" w:color="auto"/>
            </w:tcBorders>
            <w:noWrap/>
            <w:vAlign w:val="bottom"/>
          </w:tcPr>
          <w:p w:rsidR="009169EA" w:rsidRDefault="009169EA" w:rsidP="000E22C9">
            <w:pPr>
              <w:keepNext/>
              <w:keepLines/>
              <w:ind w:right="-1"/>
              <w:jc w:val="center"/>
              <w:rPr>
                <w:rFonts w:cs="Arial"/>
                <w:sz w:val="20"/>
                <w:szCs w:val="20"/>
              </w:rPr>
            </w:pPr>
            <w:r>
              <w:rPr>
                <w:rFonts w:cs="Arial"/>
                <w:sz w:val="20"/>
                <w:szCs w:val="20"/>
              </w:rPr>
              <w:t>% of total</w:t>
            </w:r>
          </w:p>
        </w:tc>
        <w:tc>
          <w:tcPr>
            <w:tcW w:w="1620" w:type="dxa"/>
            <w:tcBorders>
              <w:top w:val="single" w:sz="4" w:space="0" w:color="auto"/>
              <w:left w:val="nil"/>
              <w:bottom w:val="single" w:sz="4" w:space="0" w:color="auto"/>
              <w:right w:val="single" w:sz="4" w:space="0" w:color="auto"/>
            </w:tcBorders>
            <w:vAlign w:val="bottom"/>
          </w:tcPr>
          <w:p w:rsidR="009169EA" w:rsidRDefault="009169EA" w:rsidP="000E22C9">
            <w:pPr>
              <w:keepNext/>
              <w:keepLines/>
              <w:ind w:right="-1"/>
              <w:jc w:val="center"/>
              <w:rPr>
                <w:rFonts w:cs="Arial"/>
                <w:sz w:val="20"/>
                <w:szCs w:val="20"/>
              </w:rPr>
            </w:pPr>
            <w:r>
              <w:rPr>
                <w:rFonts w:cs="Arial"/>
                <w:sz w:val="20"/>
                <w:szCs w:val="20"/>
              </w:rPr>
              <w:t>% of total</w:t>
            </w:r>
          </w:p>
        </w:tc>
        <w:tc>
          <w:tcPr>
            <w:tcW w:w="1620" w:type="dxa"/>
            <w:tcBorders>
              <w:top w:val="single" w:sz="4" w:space="0" w:color="auto"/>
              <w:left w:val="single" w:sz="4" w:space="0" w:color="auto"/>
              <w:bottom w:val="single" w:sz="4" w:space="0" w:color="auto"/>
              <w:right w:val="single" w:sz="4" w:space="0" w:color="auto"/>
            </w:tcBorders>
            <w:noWrap/>
            <w:vAlign w:val="bottom"/>
          </w:tcPr>
          <w:p w:rsidR="009169EA" w:rsidRDefault="009169EA" w:rsidP="000E22C9">
            <w:pPr>
              <w:keepNext/>
              <w:keepLines/>
              <w:ind w:right="-1"/>
              <w:jc w:val="center"/>
              <w:rPr>
                <w:rFonts w:cs="Arial"/>
                <w:sz w:val="20"/>
                <w:szCs w:val="20"/>
              </w:rPr>
            </w:pPr>
            <w:r>
              <w:rPr>
                <w:rFonts w:cs="Arial"/>
                <w:sz w:val="20"/>
                <w:szCs w:val="20"/>
              </w:rPr>
              <w:t>% of total</w:t>
            </w:r>
          </w:p>
        </w:tc>
      </w:tr>
      <w:tr w:rsidR="009169EA" w:rsidTr="00614C19">
        <w:trPr>
          <w:trHeight w:val="255"/>
          <w:jc w:val="center"/>
        </w:trPr>
        <w:tc>
          <w:tcPr>
            <w:tcW w:w="2705" w:type="dxa"/>
            <w:tcBorders>
              <w:top w:val="single" w:sz="4" w:space="0" w:color="auto"/>
              <w:left w:val="single" w:sz="4" w:space="0" w:color="auto"/>
              <w:bottom w:val="single" w:sz="4" w:space="0" w:color="auto"/>
              <w:right w:val="single" w:sz="4" w:space="0" w:color="auto"/>
            </w:tcBorders>
            <w:noWrap/>
            <w:vAlign w:val="bottom"/>
          </w:tcPr>
          <w:p w:rsidR="009169EA" w:rsidRDefault="009169EA" w:rsidP="000E22C9">
            <w:pPr>
              <w:keepNext/>
              <w:keepLines/>
              <w:ind w:right="-1"/>
              <w:rPr>
                <w:rFonts w:cs="Arial"/>
                <w:sz w:val="20"/>
                <w:szCs w:val="20"/>
              </w:rPr>
            </w:pPr>
            <w:r>
              <w:rPr>
                <w:rFonts w:cs="Arial"/>
                <w:sz w:val="20"/>
                <w:szCs w:val="20"/>
              </w:rPr>
              <w:t>Total businesses in 2015</w:t>
            </w:r>
          </w:p>
        </w:tc>
        <w:tc>
          <w:tcPr>
            <w:tcW w:w="1620" w:type="dxa"/>
            <w:tcBorders>
              <w:top w:val="single" w:sz="4" w:space="0" w:color="auto"/>
              <w:left w:val="nil"/>
              <w:bottom w:val="single" w:sz="4" w:space="0" w:color="auto"/>
              <w:right w:val="single" w:sz="4" w:space="0" w:color="auto"/>
            </w:tcBorders>
            <w:noWrap/>
          </w:tcPr>
          <w:p w:rsidR="009169EA" w:rsidRPr="00F7594B" w:rsidRDefault="001E4886" w:rsidP="000E22C9">
            <w:pPr>
              <w:keepNext/>
              <w:keepLines/>
              <w:ind w:right="-1"/>
              <w:jc w:val="right"/>
              <w:rPr>
                <w:rFonts w:cs="Arial"/>
              </w:rPr>
            </w:pPr>
            <w:r>
              <w:rPr>
                <w:rFonts w:cs="Arial"/>
                <w:sz w:val="22"/>
              </w:rPr>
              <w:t>17,620</w:t>
            </w:r>
          </w:p>
        </w:tc>
        <w:tc>
          <w:tcPr>
            <w:tcW w:w="1620" w:type="dxa"/>
            <w:tcBorders>
              <w:top w:val="single" w:sz="4" w:space="0" w:color="auto"/>
              <w:left w:val="nil"/>
              <w:bottom w:val="single" w:sz="4" w:space="0" w:color="auto"/>
              <w:right w:val="single" w:sz="4" w:space="0" w:color="auto"/>
            </w:tcBorders>
            <w:noWrap/>
            <w:vAlign w:val="bottom"/>
          </w:tcPr>
          <w:p w:rsidR="009169EA" w:rsidRPr="00F7594B" w:rsidRDefault="009169EA" w:rsidP="000E22C9">
            <w:pPr>
              <w:keepNext/>
              <w:keepLines/>
              <w:ind w:right="-1"/>
              <w:jc w:val="right"/>
              <w:rPr>
                <w:rFonts w:cs="Arial"/>
              </w:rPr>
            </w:pPr>
            <w:r w:rsidRPr="00F7594B">
              <w:rPr>
                <w:rFonts w:cs="Arial"/>
                <w:sz w:val="22"/>
              </w:rPr>
              <w:t>100.0</w:t>
            </w:r>
          </w:p>
        </w:tc>
        <w:tc>
          <w:tcPr>
            <w:tcW w:w="1620" w:type="dxa"/>
            <w:tcBorders>
              <w:top w:val="single" w:sz="4" w:space="0" w:color="auto"/>
              <w:left w:val="nil"/>
              <w:bottom w:val="single" w:sz="4" w:space="0" w:color="auto"/>
              <w:right w:val="single" w:sz="4" w:space="0" w:color="auto"/>
            </w:tcBorders>
            <w:vAlign w:val="bottom"/>
          </w:tcPr>
          <w:p w:rsidR="009169EA" w:rsidRPr="00F7594B" w:rsidRDefault="009169EA" w:rsidP="000E22C9">
            <w:pPr>
              <w:keepNext/>
              <w:keepLines/>
              <w:ind w:right="-1"/>
              <w:jc w:val="right"/>
              <w:rPr>
                <w:rFonts w:cs="Arial"/>
              </w:rPr>
            </w:pPr>
            <w:r w:rsidRPr="00F7594B">
              <w:rPr>
                <w:rFonts w:cs="Arial"/>
                <w:sz w:val="22"/>
              </w:rPr>
              <w:t>100.0</w:t>
            </w:r>
          </w:p>
        </w:tc>
        <w:tc>
          <w:tcPr>
            <w:tcW w:w="1620" w:type="dxa"/>
            <w:tcBorders>
              <w:top w:val="single" w:sz="4" w:space="0" w:color="auto"/>
              <w:left w:val="single" w:sz="4" w:space="0" w:color="auto"/>
              <w:bottom w:val="single" w:sz="4" w:space="0" w:color="auto"/>
              <w:right w:val="single" w:sz="4" w:space="0" w:color="auto"/>
            </w:tcBorders>
            <w:noWrap/>
            <w:vAlign w:val="bottom"/>
          </w:tcPr>
          <w:p w:rsidR="009169EA" w:rsidRPr="00F7594B" w:rsidRDefault="009169EA" w:rsidP="000E22C9">
            <w:pPr>
              <w:keepNext/>
              <w:keepLines/>
              <w:ind w:right="-1"/>
              <w:jc w:val="right"/>
              <w:rPr>
                <w:rFonts w:cs="Arial"/>
              </w:rPr>
            </w:pPr>
            <w:r w:rsidRPr="00F7594B">
              <w:rPr>
                <w:rFonts w:cs="Arial"/>
                <w:sz w:val="22"/>
              </w:rPr>
              <w:t>100.0</w:t>
            </w:r>
          </w:p>
        </w:tc>
      </w:tr>
      <w:tr w:rsidR="009169EA" w:rsidTr="00614C19">
        <w:trPr>
          <w:trHeight w:val="255"/>
          <w:jc w:val="center"/>
        </w:trPr>
        <w:tc>
          <w:tcPr>
            <w:tcW w:w="2705" w:type="dxa"/>
            <w:tcBorders>
              <w:top w:val="single" w:sz="4" w:space="0" w:color="auto"/>
              <w:left w:val="single" w:sz="4" w:space="0" w:color="auto"/>
              <w:bottom w:val="single" w:sz="4" w:space="0" w:color="auto"/>
              <w:right w:val="single" w:sz="4" w:space="0" w:color="auto"/>
            </w:tcBorders>
            <w:noWrap/>
            <w:vAlign w:val="bottom"/>
          </w:tcPr>
          <w:p w:rsidR="009169EA" w:rsidRDefault="009169EA" w:rsidP="000E22C9">
            <w:pPr>
              <w:keepNext/>
              <w:keepLines/>
              <w:ind w:right="-1"/>
              <w:jc w:val="right"/>
              <w:rPr>
                <w:rFonts w:cs="Arial"/>
                <w:sz w:val="20"/>
                <w:szCs w:val="20"/>
              </w:rPr>
            </w:pPr>
            <w:r>
              <w:rPr>
                <w:rFonts w:cs="Arial"/>
                <w:sz w:val="20"/>
                <w:szCs w:val="20"/>
              </w:rPr>
              <w:t>Micro (0-9)</w:t>
            </w:r>
          </w:p>
        </w:tc>
        <w:tc>
          <w:tcPr>
            <w:tcW w:w="1620" w:type="dxa"/>
            <w:tcBorders>
              <w:top w:val="single" w:sz="4" w:space="0" w:color="auto"/>
              <w:left w:val="nil"/>
              <w:bottom w:val="single" w:sz="4" w:space="0" w:color="auto"/>
              <w:right w:val="single" w:sz="4" w:space="0" w:color="auto"/>
            </w:tcBorders>
            <w:noWrap/>
          </w:tcPr>
          <w:p w:rsidR="009169EA" w:rsidRPr="00F7594B" w:rsidRDefault="001E4886" w:rsidP="000E22C9">
            <w:pPr>
              <w:keepNext/>
              <w:keepLines/>
              <w:ind w:right="-1"/>
              <w:jc w:val="right"/>
              <w:rPr>
                <w:rFonts w:cs="Arial"/>
              </w:rPr>
            </w:pPr>
            <w:r>
              <w:rPr>
                <w:rFonts w:cs="Arial"/>
                <w:sz w:val="22"/>
              </w:rPr>
              <w:t>14 555</w:t>
            </w:r>
          </w:p>
        </w:tc>
        <w:tc>
          <w:tcPr>
            <w:tcW w:w="1620" w:type="dxa"/>
            <w:tcBorders>
              <w:top w:val="single" w:sz="4" w:space="0" w:color="auto"/>
              <w:left w:val="nil"/>
              <w:bottom w:val="single" w:sz="4" w:space="0" w:color="auto"/>
              <w:right w:val="single" w:sz="4" w:space="0" w:color="auto"/>
            </w:tcBorders>
            <w:noWrap/>
            <w:vAlign w:val="bottom"/>
          </w:tcPr>
          <w:p w:rsidR="009169EA" w:rsidRPr="00F7594B" w:rsidRDefault="009169EA" w:rsidP="000E22C9">
            <w:pPr>
              <w:keepNext/>
              <w:keepLines/>
              <w:ind w:right="-1"/>
              <w:jc w:val="right"/>
              <w:rPr>
                <w:rFonts w:cs="Arial"/>
                <w:color w:val="000000"/>
              </w:rPr>
            </w:pPr>
            <w:r w:rsidRPr="00F7594B">
              <w:rPr>
                <w:rFonts w:cs="Arial"/>
                <w:color w:val="000000"/>
                <w:sz w:val="22"/>
              </w:rPr>
              <w:t>82.0</w:t>
            </w:r>
          </w:p>
        </w:tc>
        <w:tc>
          <w:tcPr>
            <w:tcW w:w="1620" w:type="dxa"/>
            <w:tcBorders>
              <w:top w:val="single" w:sz="4" w:space="0" w:color="auto"/>
              <w:left w:val="nil"/>
              <w:bottom w:val="single" w:sz="4" w:space="0" w:color="auto"/>
              <w:right w:val="single" w:sz="4" w:space="0" w:color="auto"/>
            </w:tcBorders>
            <w:vAlign w:val="bottom"/>
          </w:tcPr>
          <w:p w:rsidR="009169EA" w:rsidRPr="00F7594B" w:rsidRDefault="009169EA" w:rsidP="000E22C9">
            <w:pPr>
              <w:keepNext/>
              <w:keepLines/>
              <w:ind w:right="-1"/>
              <w:jc w:val="right"/>
              <w:rPr>
                <w:rFonts w:cs="Arial"/>
                <w:color w:val="000000"/>
              </w:rPr>
            </w:pPr>
            <w:r w:rsidRPr="00F7594B">
              <w:rPr>
                <w:rFonts w:cs="Arial"/>
                <w:color w:val="000000"/>
                <w:sz w:val="22"/>
              </w:rPr>
              <w:t>81.9</w:t>
            </w:r>
          </w:p>
        </w:tc>
        <w:tc>
          <w:tcPr>
            <w:tcW w:w="1620" w:type="dxa"/>
            <w:tcBorders>
              <w:top w:val="single" w:sz="4" w:space="0" w:color="auto"/>
              <w:left w:val="single" w:sz="4" w:space="0" w:color="auto"/>
              <w:bottom w:val="single" w:sz="4" w:space="0" w:color="auto"/>
              <w:right w:val="single" w:sz="4" w:space="0" w:color="auto"/>
            </w:tcBorders>
            <w:noWrap/>
            <w:vAlign w:val="bottom"/>
          </w:tcPr>
          <w:p w:rsidR="009169EA" w:rsidRPr="00F7594B" w:rsidRDefault="009169EA" w:rsidP="000E22C9">
            <w:pPr>
              <w:keepNext/>
              <w:keepLines/>
              <w:ind w:right="-1"/>
              <w:jc w:val="right"/>
              <w:rPr>
                <w:rFonts w:cs="Arial"/>
                <w:color w:val="000000"/>
              </w:rPr>
            </w:pPr>
            <w:r w:rsidRPr="00F7594B">
              <w:rPr>
                <w:rFonts w:cs="Arial"/>
                <w:color w:val="000000"/>
                <w:sz w:val="22"/>
              </w:rPr>
              <w:t>83.6</w:t>
            </w:r>
          </w:p>
        </w:tc>
      </w:tr>
      <w:tr w:rsidR="009169EA" w:rsidTr="00614C19">
        <w:trPr>
          <w:trHeight w:val="255"/>
          <w:jc w:val="center"/>
        </w:trPr>
        <w:tc>
          <w:tcPr>
            <w:tcW w:w="2705" w:type="dxa"/>
            <w:tcBorders>
              <w:top w:val="single" w:sz="4" w:space="0" w:color="auto"/>
              <w:left w:val="single" w:sz="4" w:space="0" w:color="auto"/>
              <w:bottom w:val="single" w:sz="4" w:space="0" w:color="auto"/>
              <w:right w:val="single" w:sz="4" w:space="0" w:color="auto"/>
            </w:tcBorders>
            <w:noWrap/>
            <w:vAlign w:val="bottom"/>
          </w:tcPr>
          <w:p w:rsidR="009169EA" w:rsidRDefault="009169EA" w:rsidP="000E22C9">
            <w:pPr>
              <w:keepNext/>
              <w:keepLines/>
              <w:ind w:right="-1"/>
              <w:jc w:val="right"/>
              <w:rPr>
                <w:rFonts w:cs="Arial"/>
                <w:sz w:val="20"/>
                <w:szCs w:val="20"/>
              </w:rPr>
            </w:pPr>
            <w:r>
              <w:rPr>
                <w:rFonts w:cs="Arial"/>
                <w:sz w:val="20"/>
                <w:szCs w:val="20"/>
              </w:rPr>
              <w:t>Small (10-49</w:t>
            </w:r>
          </w:p>
        </w:tc>
        <w:tc>
          <w:tcPr>
            <w:tcW w:w="1620" w:type="dxa"/>
            <w:tcBorders>
              <w:top w:val="single" w:sz="4" w:space="0" w:color="auto"/>
              <w:left w:val="nil"/>
              <w:bottom w:val="single" w:sz="4" w:space="0" w:color="auto"/>
              <w:right w:val="single" w:sz="4" w:space="0" w:color="auto"/>
            </w:tcBorders>
            <w:noWrap/>
          </w:tcPr>
          <w:p w:rsidR="009169EA" w:rsidRPr="00F7594B" w:rsidRDefault="009169EA" w:rsidP="000E22C9">
            <w:pPr>
              <w:keepNext/>
              <w:keepLines/>
              <w:ind w:right="-1"/>
              <w:jc w:val="right"/>
              <w:rPr>
                <w:rFonts w:cs="Arial"/>
              </w:rPr>
            </w:pPr>
            <w:r w:rsidRPr="00F7594B">
              <w:rPr>
                <w:rFonts w:cs="Arial"/>
                <w:sz w:val="22"/>
              </w:rPr>
              <w:t>2,400</w:t>
            </w:r>
          </w:p>
        </w:tc>
        <w:tc>
          <w:tcPr>
            <w:tcW w:w="1620" w:type="dxa"/>
            <w:tcBorders>
              <w:top w:val="single" w:sz="4" w:space="0" w:color="auto"/>
              <w:left w:val="nil"/>
              <w:bottom w:val="single" w:sz="4" w:space="0" w:color="auto"/>
              <w:right w:val="single" w:sz="4" w:space="0" w:color="auto"/>
            </w:tcBorders>
            <w:noWrap/>
            <w:vAlign w:val="bottom"/>
          </w:tcPr>
          <w:p w:rsidR="009169EA" w:rsidRPr="00F7594B" w:rsidRDefault="009169EA" w:rsidP="000E22C9">
            <w:pPr>
              <w:keepNext/>
              <w:keepLines/>
              <w:ind w:right="-1"/>
              <w:jc w:val="right"/>
              <w:rPr>
                <w:rFonts w:cs="Arial"/>
                <w:color w:val="000000"/>
              </w:rPr>
            </w:pPr>
            <w:r w:rsidRPr="00F7594B">
              <w:rPr>
                <w:rFonts w:cs="Arial"/>
                <w:color w:val="000000"/>
                <w:sz w:val="22"/>
              </w:rPr>
              <w:t>14.1</w:t>
            </w:r>
          </w:p>
        </w:tc>
        <w:tc>
          <w:tcPr>
            <w:tcW w:w="1620" w:type="dxa"/>
            <w:tcBorders>
              <w:top w:val="single" w:sz="4" w:space="0" w:color="auto"/>
              <w:left w:val="nil"/>
              <w:bottom w:val="single" w:sz="4" w:space="0" w:color="auto"/>
              <w:right w:val="single" w:sz="4" w:space="0" w:color="auto"/>
            </w:tcBorders>
            <w:vAlign w:val="bottom"/>
          </w:tcPr>
          <w:p w:rsidR="009169EA" w:rsidRPr="00F7594B" w:rsidRDefault="009169EA" w:rsidP="000E22C9">
            <w:pPr>
              <w:keepNext/>
              <w:keepLines/>
              <w:ind w:right="-1"/>
              <w:jc w:val="right"/>
              <w:rPr>
                <w:rFonts w:cs="Arial"/>
                <w:color w:val="000000"/>
              </w:rPr>
            </w:pPr>
            <w:r w:rsidRPr="00F7594B">
              <w:rPr>
                <w:rFonts w:cs="Arial"/>
                <w:color w:val="000000"/>
                <w:sz w:val="22"/>
              </w:rPr>
              <w:t>14.4</w:t>
            </w:r>
          </w:p>
        </w:tc>
        <w:tc>
          <w:tcPr>
            <w:tcW w:w="1620" w:type="dxa"/>
            <w:tcBorders>
              <w:top w:val="single" w:sz="4" w:space="0" w:color="auto"/>
              <w:left w:val="single" w:sz="4" w:space="0" w:color="auto"/>
              <w:bottom w:val="single" w:sz="4" w:space="0" w:color="auto"/>
              <w:right w:val="single" w:sz="4" w:space="0" w:color="auto"/>
            </w:tcBorders>
            <w:noWrap/>
            <w:vAlign w:val="bottom"/>
          </w:tcPr>
          <w:p w:rsidR="009169EA" w:rsidRPr="00F7594B" w:rsidRDefault="009169EA" w:rsidP="000E22C9">
            <w:pPr>
              <w:keepNext/>
              <w:keepLines/>
              <w:ind w:right="-1"/>
              <w:jc w:val="right"/>
              <w:rPr>
                <w:rFonts w:cs="Arial"/>
                <w:color w:val="000000"/>
              </w:rPr>
            </w:pPr>
            <w:r w:rsidRPr="00F7594B">
              <w:rPr>
                <w:rFonts w:cs="Arial"/>
                <w:color w:val="000000"/>
                <w:sz w:val="22"/>
              </w:rPr>
              <w:t>13.3</w:t>
            </w:r>
          </w:p>
        </w:tc>
      </w:tr>
      <w:tr w:rsidR="009169EA" w:rsidTr="00614C19">
        <w:trPr>
          <w:trHeight w:val="255"/>
          <w:jc w:val="center"/>
        </w:trPr>
        <w:tc>
          <w:tcPr>
            <w:tcW w:w="2705" w:type="dxa"/>
            <w:tcBorders>
              <w:top w:val="single" w:sz="4" w:space="0" w:color="auto"/>
              <w:left w:val="single" w:sz="4" w:space="0" w:color="auto"/>
              <w:bottom w:val="single" w:sz="4" w:space="0" w:color="auto"/>
              <w:right w:val="single" w:sz="4" w:space="0" w:color="auto"/>
            </w:tcBorders>
            <w:noWrap/>
            <w:vAlign w:val="bottom"/>
          </w:tcPr>
          <w:p w:rsidR="009169EA" w:rsidRDefault="009169EA" w:rsidP="000E22C9">
            <w:pPr>
              <w:keepNext/>
              <w:keepLines/>
              <w:ind w:right="-1"/>
              <w:jc w:val="right"/>
              <w:rPr>
                <w:rFonts w:cs="Arial"/>
                <w:sz w:val="20"/>
                <w:szCs w:val="20"/>
              </w:rPr>
            </w:pPr>
            <w:r>
              <w:rPr>
                <w:rFonts w:cs="Arial"/>
                <w:sz w:val="20"/>
                <w:szCs w:val="20"/>
              </w:rPr>
              <w:t>Medium (50-249)</w:t>
            </w:r>
          </w:p>
        </w:tc>
        <w:tc>
          <w:tcPr>
            <w:tcW w:w="1620" w:type="dxa"/>
            <w:tcBorders>
              <w:top w:val="single" w:sz="4" w:space="0" w:color="auto"/>
              <w:left w:val="nil"/>
              <w:bottom w:val="single" w:sz="4" w:space="0" w:color="auto"/>
              <w:right w:val="single" w:sz="4" w:space="0" w:color="auto"/>
            </w:tcBorders>
            <w:noWrap/>
          </w:tcPr>
          <w:p w:rsidR="009169EA" w:rsidRPr="00F7594B" w:rsidRDefault="009169EA" w:rsidP="000E22C9">
            <w:pPr>
              <w:keepNext/>
              <w:keepLines/>
              <w:ind w:right="-1"/>
              <w:jc w:val="right"/>
              <w:rPr>
                <w:rFonts w:cs="Arial"/>
              </w:rPr>
            </w:pPr>
            <w:r w:rsidRPr="00F7594B">
              <w:rPr>
                <w:rFonts w:cs="Arial"/>
                <w:sz w:val="22"/>
              </w:rPr>
              <w:t>575</w:t>
            </w:r>
          </w:p>
        </w:tc>
        <w:tc>
          <w:tcPr>
            <w:tcW w:w="1620" w:type="dxa"/>
            <w:tcBorders>
              <w:top w:val="single" w:sz="4" w:space="0" w:color="auto"/>
              <w:left w:val="nil"/>
              <w:bottom w:val="single" w:sz="4" w:space="0" w:color="auto"/>
              <w:right w:val="single" w:sz="4" w:space="0" w:color="auto"/>
            </w:tcBorders>
            <w:noWrap/>
            <w:vAlign w:val="bottom"/>
          </w:tcPr>
          <w:p w:rsidR="009169EA" w:rsidRPr="00F7594B" w:rsidRDefault="009169EA" w:rsidP="000E22C9">
            <w:pPr>
              <w:keepNext/>
              <w:keepLines/>
              <w:ind w:right="-1"/>
              <w:jc w:val="right"/>
              <w:rPr>
                <w:rFonts w:cs="Arial"/>
                <w:color w:val="000000"/>
              </w:rPr>
            </w:pPr>
            <w:r w:rsidRPr="00F7594B">
              <w:rPr>
                <w:rFonts w:cs="Arial"/>
                <w:color w:val="000000"/>
                <w:sz w:val="22"/>
              </w:rPr>
              <w:t>3.4</w:t>
            </w:r>
          </w:p>
        </w:tc>
        <w:tc>
          <w:tcPr>
            <w:tcW w:w="1620" w:type="dxa"/>
            <w:tcBorders>
              <w:top w:val="single" w:sz="4" w:space="0" w:color="auto"/>
              <w:left w:val="nil"/>
              <w:bottom w:val="single" w:sz="4" w:space="0" w:color="auto"/>
              <w:right w:val="single" w:sz="4" w:space="0" w:color="auto"/>
            </w:tcBorders>
            <w:vAlign w:val="bottom"/>
          </w:tcPr>
          <w:p w:rsidR="009169EA" w:rsidRPr="00F7594B" w:rsidRDefault="009169EA" w:rsidP="000E22C9">
            <w:pPr>
              <w:keepNext/>
              <w:keepLines/>
              <w:ind w:right="-1"/>
              <w:jc w:val="right"/>
              <w:rPr>
                <w:rFonts w:cs="Arial"/>
                <w:color w:val="000000"/>
              </w:rPr>
            </w:pPr>
            <w:r w:rsidRPr="00F7594B">
              <w:rPr>
                <w:rFonts w:cs="Arial"/>
                <w:color w:val="000000"/>
                <w:sz w:val="22"/>
              </w:rPr>
              <w:t>3.2</w:t>
            </w:r>
          </w:p>
        </w:tc>
        <w:tc>
          <w:tcPr>
            <w:tcW w:w="1620" w:type="dxa"/>
            <w:tcBorders>
              <w:top w:val="single" w:sz="4" w:space="0" w:color="auto"/>
              <w:left w:val="single" w:sz="4" w:space="0" w:color="auto"/>
              <w:bottom w:val="single" w:sz="4" w:space="0" w:color="auto"/>
              <w:right w:val="single" w:sz="4" w:space="0" w:color="auto"/>
            </w:tcBorders>
            <w:noWrap/>
            <w:vAlign w:val="bottom"/>
          </w:tcPr>
          <w:p w:rsidR="009169EA" w:rsidRPr="00F7594B" w:rsidRDefault="009169EA" w:rsidP="000E22C9">
            <w:pPr>
              <w:keepNext/>
              <w:keepLines/>
              <w:ind w:right="-1"/>
              <w:jc w:val="right"/>
              <w:rPr>
                <w:rFonts w:cs="Arial"/>
                <w:color w:val="000000"/>
              </w:rPr>
            </w:pPr>
            <w:r w:rsidRPr="00F7594B">
              <w:rPr>
                <w:rFonts w:cs="Arial"/>
                <w:color w:val="000000"/>
                <w:sz w:val="22"/>
              </w:rPr>
              <w:t>2.7</w:t>
            </w:r>
          </w:p>
        </w:tc>
      </w:tr>
      <w:tr w:rsidR="009169EA" w:rsidTr="00614C19">
        <w:trPr>
          <w:trHeight w:val="255"/>
          <w:jc w:val="center"/>
        </w:trPr>
        <w:tc>
          <w:tcPr>
            <w:tcW w:w="2705" w:type="dxa"/>
            <w:tcBorders>
              <w:top w:val="single" w:sz="4" w:space="0" w:color="auto"/>
              <w:left w:val="single" w:sz="4" w:space="0" w:color="auto"/>
              <w:bottom w:val="single" w:sz="4" w:space="0" w:color="auto"/>
              <w:right w:val="single" w:sz="4" w:space="0" w:color="auto"/>
            </w:tcBorders>
            <w:noWrap/>
            <w:vAlign w:val="bottom"/>
          </w:tcPr>
          <w:p w:rsidR="009169EA" w:rsidRDefault="009169EA" w:rsidP="00E016D0">
            <w:pPr>
              <w:ind w:right="-1"/>
              <w:jc w:val="right"/>
              <w:rPr>
                <w:rFonts w:cs="Arial"/>
                <w:sz w:val="20"/>
                <w:szCs w:val="20"/>
              </w:rPr>
            </w:pPr>
            <w:r>
              <w:rPr>
                <w:rFonts w:cs="Arial"/>
                <w:sz w:val="20"/>
                <w:szCs w:val="20"/>
              </w:rPr>
              <w:t>Large (250+)</w:t>
            </w:r>
          </w:p>
        </w:tc>
        <w:tc>
          <w:tcPr>
            <w:tcW w:w="1620" w:type="dxa"/>
            <w:tcBorders>
              <w:top w:val="single" w:sz="4" w:space="0" w:color="auto"/>
              <w:left w:val="nil"/>
              <w:bottom w:val="single" w:sz="4" w:space="0" w:color="auto"/>
              <w:right w:val="single" w:sz="4" w:space="0" w:color="auto"/>
            </w:tcBorders>
            <w:noWrap/>
          </w:tcPr>
          <w:p w:rsidR="009169EA" w:rsidRPr="00F7594B" w:rsidRDefault="009169EA" w:rsidP="00E016D0">
            <w:pPr>
              <w:ind w:right="-1"/>
              <w:jc w:val="right"/>
              <w:rPr>
                <w:rFonts w:cs="Arial"/>
              </w:rPr>
            </w:pPr>
            <w:r w:rsidRPr="00F7594B">
              <w:rPr>
                <w:rFonts w:cs="Arial"/>
                <w:sz w:val="22"/>
              </w:rPr>
              <w:t>90</w:t>
            </w:r>
          </w:p>
        </w:tc>
        <w:tc>
          <w:tcPr>
            <w:tcW w:w="1620" w:type="dxa"/>
            <w:tcBorders>
              <w:top w:val="single" w:sz="4" w:space="0" w:color="auto"/>
              <w:left w:val="nil"/>
              <w:bottom w:val="single" w:sz="4" w:space="0" w:color="auto"/>
              <w:right w:val="single" w:sz="4" w:space="0" w:color="auto"/>
            </w:tcBorders>
            <w:noWrap/>
            <w:vAlign w:val="bottom"/>
          </w:tcPr>
          <w:p w:rsidR="009169EA" w:rsidRPr="00F7594B" w:rsidRDefault="009169EA" w:rsidP="00E016D0">
            <w:pPr>
              <w:ind w:right="-1"/>
              <w:jc w:val="right"/>
              <w:rPr>
                <w:rFonts w:cs="Arial"/>
                <w:color w:val="000000"/>
              </w:rPr>
            </w:pPr>
            <w:r w:rsidRPr="00F7594B">
              <w:rPr>
                <w:rFonts w:cs="Arial"/>
                <w:color w:val="000000"/>
                <w:sz w:val="22"/>
              </w:rPr>
              <w:t>0.5</w:t>
            </w:r>
          </w:p>
        </w:tc>
        <w:tc>
          <w:tcPr>
            <w:tcW w:w="1620" w:type="dxa"/>
            <w:tcBorders>
              <w:top w:val="single" w:sz="4" w:space="0" w:color="auto"/>
              <w:left w:val="nil"/>
              <w:bottom w:val="single" w:sz="4" w:space="0" w:color="auto"/>
              <w:right w:val="single" w:sz="4" w:space="0" w:color="auto"/>
            </w:tcBorders>
            <w:vAlign w:val="bottom"/>
          </w:tcPr>
          <w:p w:rsidR="009169EA" w:rsidRPr="00F7594B" w:rsidRDefault="009169EA" w:rsidP="00E016D0">
            <w:pPr>
              <w:ind w:right="-1"/>
              <w:jc w:val="right"/>
              <w:rPr>
                <w:rFonts w:cs="Arial"/>
                <w:color w:val="000000"/>
              </w:rPr>
            </w:pPr>
            <w:r w:rsidRPr="00F7594B">
              <w:rPr>
                <w:rFonts w:cs="Arial"/>
                <w:color w:val="000000"/>
                <w:sz w:val="22"/>
              </w:rPr>
              <w:t>0.5</w:t>
            </w:r>
          </w:p>
        </w:tc>
        <w:tc>
          <w:tcPr>
            <w:tcW w:w="1620" w:type="dxa"/>
            <w:tcBorders>
              <w:top w:val="single" w:sz="4" w:space="0" w:color="auto"/>
              <w:left w:val="single" w:sz="4" w:space="0" w:color="auto"/>
              <w:bottom w:val="single" w:sz="4" w:space="0" w:color="auto"/>
              <w:right w:val="single" w:sz="4" w:space="0" w:color="auto"/>
            </w:tcBorders>
            <w:noWrap/>
            <w:vAlign w:val="bottom"/>
          </w:tcPr>
          <w:p w:rsidR="009169EA" w:rsidRPr="00F7594B" w:rsidRDefault="009169EA" w:rsidP="00E016D0">
            <w:pPr>
              <w:ind w:right="-1"/>
              <w:jc w:val="right"/>
              <w:rPr>
                <w:rFonts w:cs="Arial"/>
                <w:color w:val="000000"/>
              </w:rPr>
            </w:pPr>
            <w:r w:rsidRPr="00F7594B">
              <w:rPr>
                <w:rFonts w:cs="Arial"/>
                <w:color w:val="000000"/>
                <w:sz w:val="22"/>
              </w:rPr>
              <w:t>0.4</w:t>
            </w:r>
          </w:p>
        </w:tc>
      </w:tr>
    </w:tbl>
    <w:p w:rsidR="009169EA" w:rsidRPr="00614C19" w:rsidRDefault="009169EA" w:rsidP="00E016D0">
      <w:pPr>
        <w:ind w:right="-1"/>
        <w:rPr>
          <w:rFonts w:cs="Arial"/>
          <w:b/>
        </w:rPr>
      </w:pPr>
    </w:p>
    <w:p w:rsidR="009169EA" w:rsidRPr="009169EA" w:rsidRDefault="009169EA" w:rsidP="00E016D0">
      <w:pPr>
        <w:pStyle w:val="Heading1"/>
        <w:ind w:right="-1"/>
      </w:pPr>
      <w:r w:rsidRPr="009169EA">
        <w:t>Business numbers by Sector</w:t>
      </w:r>
    </w:p>
    <w:p w:rsidR="009169EA" w:rsidRPr="00500D60" w:rsidRDefault="009169EA" w:rsidP="00500D60">
      <w:pPr>
        <w:spacing w:after="120"/>
        <w:rPr>
          <w:rFonts w:cs="Arial"/>
        </w:rPr>
      </w:pPr>
      <w:r>
        <w:rPr>
          <w:rFonts w:cs="Arial"/>
        </w:rPr>
        <w:t>The majority of businesses in Bradford are i</w:t>
      </w:r>
      <w:r w:rsidR="009127B4">
        <w:rPr>
          <w:rFonts w:cs="Arial"/>
        </w:rPr>
        <w:t>n the service sector with 14,520</w:t>
      </w:r>
      <w:r>
        <w:rPr>
          <w:rFonts w:cs="Arial"/>
        </w:rPr>
        <w:t xml:space="preserve"> businesses which 81.8% of all businesses.  This is slightly higher than regional and national figures. Bradford also has a higher proportion of manufacturing businesses, particular in compa</w:t>
      </w:r>
      <w:r w:rsidR="00500D60">
        <w:rPr>
          <w:rFonts w:cs="Arial"/>
        </w:rPr>
        <w:t xml:space="preserve">rison to the national picture. </w:t>
      </w:r>
    </w:p>
    <w:tbl>
      <w:tblPr>
        <w:tblW w:w="9740" w:type="dxa"/>
        <w:jc w:val="center"/>
        <w:tblInd w:w="103" w:type="dxa"/>
        <w:tblLayout w:type="fixed"/>
        <w:tblLook w:val="0000" w:firstRow="0" w:lastRow="0" w:firstColumn="0" w:lastColumn="0" w:noHBand="0" w:noVBand="0"/>
      </w:tblPr>
      <w:tblGrid>
        <w:gridCol w:w="2868"/>
        <w:gridCol w:w="1718"/>
        <w:gridCol w:w="1718"/>
        <w:gridCol w:w="1718"/>
        <w:gridCol w:w="1718"/>
      </w:tblGrid>
      <w:tr w:rsidR="009169EA" w:rsidRPr="00CB5D24" w:rsidTr="00614C19">
        <w:trPr>
          <w:trHeight w:val="260"/>
          <w:jc w:val="center"/>
        </w:trPr>
        <w:tc>
          <w:tcPr>
            <w:tcW w:w="286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rsidR="009169EA" w:rsidRPr="00614C19" w:rsidRDefault="009169EA" w:rsidP="00E016D0">
            <w:pPr>
              <w:ind w:right="-1"/>
              <w:rPr>
                <w:rFonts w:cs="Arial"/>
                <w:b/>
                <w:bCs/>
                <w:color w:val="FFFFFF" w:themeColor="background1"/>
                <w:szCs w:val="20"/>
              </w:rPr>
            </w:pPr>
            <w:r w:rsidRPr="00614C19">
              <w:rPr>
                <w:rFonts w:cs="Arial"/>
                <w:b/>
                <w:bCs/>
                <w:color w:val="FFFFFF" w:themeColor="background1"/>
                <w:szCs w:val="20"/>
              </w:rPr>
              <w:t>Business by Sector</w:t>
            </w:r>
          </w:p>
        </w:tc>
        <w:tc>
          <w:tcPr>
            <w:tcW w:w="3435" w:type="dxa"/>
            <w:gridSpan w:val="2"/>
            <w:tcBorders>
              <w:top w:val="single" w:sz="4" w:space="0" w:color="auto"/>
              <w:left w:val="nil"/>
              <w:bottom w:val="single" w:sz="4" w:space="0" w:color="auto"/>
              <w:right w:val="single" w:sz="4" w:space="0" w:color="auto"/>
            </w:tcBorders>
            <w:shd w:val="clear" w:color="auto" w:fill="4F81BD" w:themeFill="accent1"/>
            <w:noWrap/>
            <w:vAlign w:val="center"/>
          </w:tcPr>
          <w:p w:rsidR="009169EA" w:rsidRPr="00614C19" w:rsidRDefault="009169EA" w:rsidP="00E016D0">
            <w:pPr>
              <w:ind w:right="-1"/>
              <w:jc w:val="center"/>
              <w:rPr>
                <w:rFonts w:cs="Arial"/>
                <w:b/>
                <w:bCs/>
                <w:color w:val="FFFFFF" w:themeColor="background1"/>
                <w:szCs w:val="20"/>
              </w:rPr>
            </w:pPr>
            <w:smartTag w:uri="urn:schemas-microsoft-com:office:smarttags" w:element="place">
              <w:r w:rsidRPr="00614C19">
                <w:rPr>
                  <w:rFonts w:cs="Arial"/>
                  <w:b/>
                  <w:bCs/>
                  <w:color w:val="FFFFFF" w:themeColor="background1"/>
                  <w:szCs w:val="20"/>
                </w:rPr>
                <w:t>Bradford</w:t>
              </w:r>
            </w:smartTag>
          </w:p>
        </w:tc>
        <w:tc>
          <w:tcPr>
            <w:tcW w:w="1718" w:type="dxa"/>
            <w:tcBorders>
              <w:top w:val="single" w:sz="4" w:space="0" w:color="auto"/>
              <w:left w:val="nil"/>
              <w:bottom w:val="single" w:sz="4" w:space="0" w:color="auto"/>
              <w:right w:val="single" w:sz="4" w:space="0" w:color="auto"/>
            </w:tcBorders>
            <w:shd w:val="clear" w:color="auto" w:fill="4F81BD" w:themeFill="accent1"/>
            <w:vAlign w:val="center"/>
          </w:tcPr>
          <w:p w:rsidR="009169EA" w:rsidRPr="00614C19" w:rsidRDefault="009169EA" w:rsidP="00E016D0">
            <w:pPr>
              <w:ind w:right="-1"/>
              <w:jc w:val="center"/>
              <w:rPr>
                <w:rFonts w:cs="Arial"/>
                <w:b/>
                <w:bCs/>
                <w:color w:val="FFFFFF" w:themeColor="background1"/>
                <w:szCs w:val="20"/>
              </w:rPr>
            </w:pPr>
            <w:smartTag w:uri="urn:schemas-microsoft-com:office:smarttags" w:element="place">
              <w:smartTag w:uri="urn:schemas-microsoft-com:office:smarttags" w:element="PlaceName">
                <w:smartTag w:uri="urn:schemas-microsoft-com:office:smarttags" w:element="PlaceName">
                  <w:r w:rsidRPr="00614C19">
                    <w:rPr>
                      <w:rFonts w:cs="Arial"/>
                      <w:b/>
                      <w:bCs/>
                      <w:color w:val="FFFFFF" w:themeColor="background1"/>
                      <w:szCs w:val="20"/>
                    </w:rPr>
                    <w:t>Leeds</w:t>
                  </w:r>
                </w:smartTag>
                <w:r w:rsidRPr="00614C19">
                  <w:rPr>
                    <w:rFonts w:cs="Arial"/>
                    <w:b/>
                    <w:bCs/>
                    <w:color w:val="FFFFFF" w:themeColor="background1"/>
                    <w:szCs w:val="20"/>
                  </w:rPr>
                  <w:t xml:space="preserve"> </w:t>
                </w:r>
                <w:smartTag w:uri="urn:schemas-microsoft-com:office:smarttags" w:element="PlaceType">
                  <w:r w:rsidRPr="00614C19">
                    <w:rPr>
                      <w:rFonts w:cs="Arial"/>
                      <w:b/>
                      <w:bCs/>
                      <w:color w:val="FFFFFF" w:themeColor="background1"/>
                      <w:szCs w:val="20"/>
                    </w:rPr>
                    <w:t>City</w:t>
                  </w:r>
                </w:smartTag>
              </w:smartTag>
            </w:smartTag>
            <w:r w:rsidRPr="00614C19">
              <w:rPr>
                <w:rFonts w:cs="Arial"/>
                <w:b/>
                <w:bCs/>
                <w:color w:val="FFFFFF" w:themeColor="background1"/>
                <w:szCs w:val="20"/>
              </w:rPr>
              <w:t xml:space="preserve"> Region</w:t>
            </w:r>
          </w:p>
        </w:tc>
        <w:tc>
          <w:tcPr>
            <w:tcW w:w="17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rsidR="009169EA" w:rsidRPr="00614C19" w:rsidRDefault="009169EA" w:rsidP="00E016D0">
            <w:pPr>
              <w:ind w:right="-1"/>
              <w:jc w:val="center"/>
              <w:rPr>
                <w:rFonts w:cs="Arial"/>
                <w:b/>
                <w:bCs/>
                <w:color w:val="FFFFFF" w:themeColor="background1"/>
                <w:szCs w:val="20"/>
              </w:rPr>
            </w:pPr>
            <w:smartTag w:uri="urn:schemas-microsoft-com:office:smarttags" w:element="place">
              <w:smartTag w:uri="urn:schemas-microsoft-com:office:smarttags" w:element="country-region">
                <w:r w:rsidRPr="00614C19">
                  <w:rPr>
                    <w:rFonts w:cs="Arial"/>
                    <w:b/>
                    <w:bCs/>
                    <w:color w:val="FFFFFF" w:themeColor="background1"/>
                    <w:szCs w:val="20"/>
                  </w:rPr>
                  <w:t>UK</w:t>
                </w:r>
              </w:smartTag>
            </w:smartTag>
          </w:p>
        </w:tc>
      </w:tr>
      <w:tr w:rsidR="009169EA" w:rsidTr="00614C19">
        <w:trPr>
          <w:trHeight w:val="278"/>
          <w:jc w:val="center"/>
        </w:trPr>
        <w:tc>
          <w:tcPr>
            <w:tcW w:w="286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rPr>
                <w:rFonts w:cs="Arial"/>
                <w:szCs w:val="24"/>
              </w:rPr>
            </w:pP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center"/>
              <w:rPr>
                <w:rFonts w:cs="Arial"/>
                <w:b/>
                <w:szCs w:val="24"/>
              </w:rPr>
            </w:pPr>
            <w:r w:rsidRPr="00614C19">
              <w:rPr>
                <w:rFonts w:cs="Arial"/>
                <w:b/>
                <w:szCs w:val="24"/>
              </w:rPr>
              <w:t>Number</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center"/>
              <w:rPr>
                <w:rFonts w:cs="Arial"/>
                <w:b/>
                <w:szCs w:val="24"/>
              </w:rPr>
            </w:pPr>
            <w:r w:rsidRPr="00614C19">
              <w:rPr>
                <w:rFonts w:cs="Arial"/>
                <w:b/>
                <w:szCs w:val="24"/>
              </w:rPr>
              <w:t>% of total</w:t>
            </w:r>
          </w:p>
        </w:tc>
        <w:tc>
          <w:tcPr>
            <w:tcW w:w="1718" w:type="dxa"/>
            <w:tcBorders>
              <w:top w:val="single" w:sz="4" w:space="0" w:color="auto"/>
              <w:left w:val="single" w:sz="4" w:space="0" w:color="auto"/>
              <w:bottom w:val="single" w:sz="4" w:space="0" w:color="auto"/>
              <w:right w:val="single" w:sz="4" w:space="0" w:color="auto"/>
            </w:tcBorders>
            <w:vAlign w:val="bottom"/>
          </w:tcPr>
          <w:p w:rsidR="009169EA" w:rsidRPr="00614C19" w:rsidRDefault="009169EA" w:rsidP="00E016D0">
            <w:pPr>
              <w:ind w:right="-1"/>
              <w:jc w:val="center"/>
              <w:rPr>
                <w:rFonts w:cs="Arial"/>
                <w:b/>
                <w:szCs w:val="24"/>
              </w:rPr>
            </w:pPr>
            <w:r w:rsidRPr="00614C19">
              <w:rPr>
                <w:rFonts w:cs="Arial"/>
                <w:b/>
                <w:szCs w:val="24"/>
              </w:rPr>
              <w:t>% of total</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center"/>
              <w:rPr>
                <w:rFonts w:cs="Arial"/>
                <w:b/>
                <w:szCs w:val="24"/>
              </w:rPr>
            </w:pPr>
            <w:r w:rsidRPr="00614C19">
              <w:rPr>
                <w:rFonts w:cs="Arial"/>
                <w:b/>
                <w:szCs w:val="24"/>
              </w:rPr>
              <w:t>% of total</w:t>
            </w:r>
          </w:p>
        </w:tc>
      </w:tr>
      <w:tr w:rsidR="009169EA" w:rsidTr="00614C19">
        <w:trPr>
          <w:trHeight w:val="278"/>
          <w:jc w:val="center"/>
        </w:trPr>
        <w:tc>
          <w:tcPr>
            <w:tcW w:w="286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614C19" w:rsidP="00E016D0">
            <w:pPr>
              <w:ind w:right="-1"/>
              <w:rPr>
                <w:rFonts w:cs="Arial"/>
                <w:szCs w:val="24"/>
              </w:rPr>
            </w:pPr>
            <w:r>
              <w:rPr>
                <w:rFonts w:cs="Arial"/>
                <w:szCs w:val="24"/>
              </w:rPr>
              <w:t xml:space="preserve">Total businesses </w:t>
            </w:r>
            <w:r w:rsidR="009169EA" w:rsidRPr="00614C19">
              <w:rPr>
                <w:rFonts w:cs="Arial"/>
                <w:szCs w:val="24"/>
              </w:rPr>
              <w:t>2015</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1E4886" w:rsidP="00E016D0">
            <w:pPr>
              <w:ind w:right="-1"/>
              <w:jc w:val="right"/>
              <w:rPr>
                <w:rFonts w:cs="Arial"/>
                <w:szCs w:val="24"/>
              </w:rPr>
            </w:pPr>
            <w:r>
              <w:rPr>
                <w:rFonts w:cs="Arial"/>
                <w:szCs w:val="24"/>
              </w:rPr>
              <w:t>17,620</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100.0</w:t>
            </w:r>
          </w:p>
        </w:tc>
        <w:tc>
          <w:tcPr>
            <w:tcW w:w="1718" w:type="dxa"/>
            <w:tcBorders>
              <w:top w:val="single" w:sz="4" w:space="0" w:color="auto"/>
              <w:left w:val="single" w:sz="4" w:space="0" w:color="auto"/>
              <w:bottom w:val="single" w:sz="4" w:space="0" w:color="auto"/>
              <w:right w:val="single" w:sz="4" w:space="0" w:color="auto"/>
            </w:tcBorders>
            <w:vAlign w:val="bottom"/>
          </w:tcPr>
          <w:p w:rsidR="009169EA" w:rsidRPr="00614C19" w:rsidRDefault="009169EA" w:rsidP="00E016D0">
            <w:pPr>
              <w:ind w:right="-1"/>
              <w:jc w:val="right"/>
              <w:rPr>
                <w:rFonts w:cs="Arial"/>
                <w:szCs w:val="24"/>
              </w:rPr>
            </w:pPr>
            <w:r w:rsidRPr="00614C19">
              <w:rPr>
                <w:rFonts w:cs="Arial"/>
                <w:szCs w:val="24"/>
              </w:rPr>
              <w:t>100.0</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100.0</w:t>
            </w:r>
          </w:p>
        </w:tc>
      </w:tr>
      <w:tr w:rsidR="009169EA" w:rsidTr="00614C19">
        <w:trPr>
          <w:trHeight w:val="278"/>
          <w:jc w:val="center"/>
        </w:trPr>
        <w:tc>
          <w:tcPr>
            <w:tcW w:w="286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Primary</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color w:val="000000"/>
                <w:szCs w:val="24"/>
              </w:rPr>
            </w:pPr>
            <w:r w:rsidRPr="00614C19">
              <w:rPr>
                <w:rFonts w:cs="Arial"/>
                <w:color w:val="000000"/>
                <w:szCs w:val="24"/>
              </w:rPr>
              <w:t>420</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2.5</w:t>
            </w:r>
          </w:p>
        </w:tc>
        <w:tc>
          <w:tcPr>
            <w:tcW w:w="1718" w:type="dxa"/>
            <w:tcBorders>
              <w:top w:val="single" w:sz="4" w:space="0" w:color="auto"/>
              <w:left w:val="single" w:sz="4" w:space="0" w:color="auto"/>
              <w:bottom w:val="single" w:sz="4" w:space="0" w:color="auto"/>
              <w:right w:val="single" w:sz="4" w:space="0" w:color="auto"/>
            </w:tcBorders>
            <w:vAlign w:val="bottom"/>
          </w:tcPr>
          <w:p w:rsidR="009169EA" w:rsidRPr="00614C19" w:rsidRDefault="009169EA" w:rsidP="00E016D0">
            <w:pPr>
              <w:ind w:right="-1"/>
              <w:jc w:val="right"/>
              <w:rPr>
                <w:rFonts w:cs="Arial"/>
                <w:szCs w:val="24"/>
              </w:rPr>
            </w:pPr>
            <w:r w:rsidRPr="00614C19">
              <w:rPr>
                <w:rFonts w:cs="Arial"/>
                <w:szCs w:val="24"/>
              </w:rPr>
              <w:t>4.4</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5.8</w:t>
            </w:r>
          </w:p>
        </w:tc>
      </w:tr>
      <w:tr w:rsidR="009169EA" w:rsidTr="00614C19">
        <w:trPr>
          <w:trHeight w:val="278"/>
          <w:jc w:val="center"/>
        </w:trPr>
        <w:tc>
          <w:tcPr>
            <w:tcW w:w="286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Manufacturing</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color w:val="000000"/>
                <w:szCs w:val="24"/>
              </w:rPr>
            </w:pPr>
            <w:r w:rsidRPr="00614C19">
              <w:rPr>
                <w:rFonts w:cs="Arial"/>
                <w:color w:val="000000"/>
                <w:szCs w:val="24"/>
              </w:rPr>
              <w:t>1,225</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7.2</w:t>
            </w:r>
          </w:p>
        </w:tc>
        <w:tc>
          <w:tcPr>
            <w:tcW w:w="1718" w:type="dxa"/>
            <w:tcBorders>
              <w:top w:val="single" w:sz="4" w:space="0" w:color="auto"/>
              <w:left w:val="single" w:sz="4" w:space="0" w:color="auto"/>
              <w:bottom w:val="single" w:sz="4" w:space="0" w:color="auto"/>
              <w:right w:val="single" w:sz="4" w:space="0" w:color="auto"/>
            </w:tcBorders>
            <w:vAlign w:val="bottom"/>
          </w:tcPr>
          <w:p w:rsidR="009169EA" w:rsidRPr="00614C19" w:rsidRDefault="009169EA" w:rsidP="00E016D0">
            <w:pPr>
              <w:ind w:right="-1"/>
              <w:jc w:val="right"/>
              <w:rPr>
                <w:rFonts w:cs="Arial"/>
                <w:szCs w:val="24"/>
              </w:rPr>
            </w:pPr>
            <w:r w:rsidRPr="00614C19">
              <w:rPr>
                <w:rFonts w:cs="Arial"/>
                <w:szCs w:val="24"/>
              </w:rPr>
              <w:t>6.2</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4.8</w:t>
            </w:r>
          </w:p>
        </w:tc>
      </w:tr>
      <w:tr w:rsidR="009169EA" w:rsidTr="00614C19">
        <w:trPr>
          <w:trHeight w:val="278"/>
          <w:jc w:val="center"/>
        </w:trPr>
        <w:tc>
          <w:tcPr>
            <w:tcW w:w="286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Construction</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color w:val="000000"/>
                <w:szCs w:val="24"/>
              </w:rPr>
            </w:pPr>
            <w:r w:rsidRPr="00614C19">
              <w:rPr>
                <w:rFonts w:cs="Arial"/>
                <w:color w:val="000000"/>
                <w:szCs w:val="24"/>
              </w:rPr>
              <w:t>1,455</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8.5</w:t>
            </w:r>
          </w:p>
        </w:tc>
        <w:tc>
          <w:tcPr>
            <w:tcW w:w="1718" w:type="dxa"/>
            <w:tcBorders>
              <w:top w:val="single" w:sz="4" w:space="0" w:color="auto"/>
              <w:left w:val="single" w:sz="4" w:space="0" w:color="auto"/>
              <w:bottom w:val="single" w:sz="4" w:space="0" w:color="auto"/>
              <w:right w:val="single" w:sz="4" w:space="0" w:color="auto"/>
            </w:tcBorders>
            <w:vAlign w:val="bottom"/>
          </w:tcPr>
          <w:p w:rsidR="009169EA" w:rsidRPr="00614C19" w:rsidRDefault="009169EA" w:rsidP="00E016D0">
            <w:pPr>
              <w:ind w:right="-1"/>
              <w:jc w:val="right"/>
              <w:rPr>
                <w:rFonts w:cs="Arial"/>
                <w:szCs w:val="24"/>
              </w:rPr>
            </w:pPr>
            <w:r w:rsidRPr="00614C19">
              <w:rPr>
                <w:rFonts w:cs="Arial"/>
                <w:szCs w:val="24"/>
              </w:rPr>
              <w:t>9.7</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10.1</w:t>
            </w:r>
          </w:p>
        </w:tc>
      </w:tr>
      <w:tr w:rsidR="009169EA" w:rsidTr="00614C19">
        <w:trPr>
          <w:trHeight w:val="278"/>
          <w:jc w:val="center"/>
        </w:trPr>
        <w:tc>
          <w:tcPr>
            <w:tcW w:w="286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Services</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6D33F7" w:rsidP="00E016D0">
            <w:pPr>
              <w:ind w:right="-1"/>
              <w:jc w:val="right"/>
              <w:rPr>
                <w:rFonts w:cs="Arial"/>
                <w:color w:val="000000"/>
                <w:szCs w:val="24"/>
              </w:rPr>
            </w:pPr>
            <w:r>
              <w:rPr>
                <w:rFonts w:cs="Arial"/>
                <w:color w:val="000000"/>
                <w:szCs w:val="24"/>
              </w:rPr>
              <w:t>14,520</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81.8</w:t>
            </w:r>
          </w:p>
        </w:tc>
        <w:tc>
          <w:tcPr>
            <w:tcW w:w="1718" w:type="dxa"/>
            <w:tcBorders>
              <w:top w:val="single" w:sz="4" w:space="0" w:color="auto"/>
              <w:left w:val="single" w:sz="4" w:space="0" w:color="auto"/>
              <w:bottom w:val="single" w:sz="4" w:space="0" w:color="auto"/>
              <w:right w:val="single" w:sz="4" w:space="0" w:color="auto"/>
            </w:tcBorders>
            <w:vAlign w:val="bottom"/>
          </w:tcPr>
          <w:p w:rsidR="009169EA" w:rsidRPr="00614C19" w:rsidRDefault="009169EA" w:rsidP="00E016D0">
            <w:pPr>
              <w:ind w:right="-1"/>
              <w:jc w:val="right"/>
              <w:rPr>
                <w:rFonts w:cs="Arial"/>
                <w:szCs w:val="24"/>
              </w:rPr>
            </w:pPr>
            <w:r w:rsidRPr="00614C19">
              <w:rPr>
                <w:rFonts w:cs="Arial"/>
                <w:szCs w:val="24"/>
              </w:rPr>
              <w:t>79.7</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79.3</w:t>
            </w:r>
          </w:p>
        </w:tc>
      </w:tr>
      <w:tr w:rsidR="009169EA" w:rsidTr="00614C19">
        <w:trPr>
          <w:trHeight w:val="348"/>
          <w:jc w:val="center"/>
        </w:trPr>
        <w:tc>
          <w:tcPr>
            <w:tcW w:w="2868" w:type="dxa"/>
            <w:tcBorders>
              <w:top w:val="single" w:sz="4" w:space="0" w:color="auto"/>
              <w:left w:val="single" w:sz="4" w:space="0" w:color="auto"/>
              <w:bottom w:val="single" w:sz="4" w:space="0" w:color="auto"/>
              <w:right w:val="single" w:sz="4" w:space="0" w:color="auto"/>
            </w:tcBorders>
            <w:noWrap/>
            <w:vAlign w:val="center"/>
          </w:tcPr>
          <w:p w:rsidR="009169EA" w:rsidRPr="00614C19" w:rsidRDefault="009169EA" w:rsidP="00E016D0">
            <w:pPr>
              <w:ind w:right="-1"/>
              <w:jc w:val="center"/>
              <w:rPr>
                <w:rFonts w:cs="Arial"/>
                <w:b/>
                <w:szCs w:val="24"/>
              </w:rPr>
            </w:pPr>
            <w:r w:rsidRPr="00614C19">
              <w:rPr>
                <w:rFonts w:cs="Arial"/>
                <w:b/>
                <w:szCs w:val="24"/>
              </w:rPr>
              <w:t>Change 2011-15</w:t>
            </w:r>
          </w:p>
        </w:tc>
        <w:tc>
          <w:tcPr>
            <w:tcW w:w="1718" w:type="dxa"/>
            <w:tcBorders>
              <w:top w:val="single" w:sz="4" w:space="0" w:color="auto"/>
              <w:left w:val="single" w:sz="4" w:space="0" w:color="auto"/>
              <w:bottom w:val="single" w:sz="4" w:space="0" w:color="auto"/>
              <w:right w:val="single" w:sz="4" w:space="0" w:color="auto"/>
            </w:tcBorders>
            <w:noWrap/>
            <w:vAlign w:val="center"/>
          </w:tcPr>
          <w:p w:rsidR="009169EA" w:rsidRPr="00614C19" w:rsidRDefault="009169EA" w:rsidP="00E016D0">
            <w:pPr>
              <w:ind w:right="-1"/>
              <w:jc w:val="center"/>
              <w:rPr>
                <w:rFonts w:cs="Arial"/>
                <w:b/>
                <w:szCs w:val="24"/>
              </w:rPr>
            </w:pPr>
            <w:r w:rsidRPr="00614C19">
              <w:rPr>
                <w:rFonts w:cs="Arial"/>
                <w:b/>
                <w:szCs w:val="24"/>
              </w:rPr>
              <w:t>Number</w:t>
            </w:r>
          </w:p>
        </w:tc>
        <w:tc>
          <w:tcPr>
            <w:tcW w:w="1718" w:type="dxa"/>
            <w:tcBorders>
              <w:top w:val="single" w:sz="4" w:space="0" w:color="auto"/>
              <w:left w:val="single" w:sz="4" w:space="0" w:color="auto"/>
              <w:bottom w:val="single" w:sz="4" w:space="0" w:color="auto"/>
              <w:right w:val="single" w:sz="4" w:space="0" w:color="auto"/>
            </w:tcBorders>
            <w:noWrap/>
            <w:vAlign w:val="center"/>
          </w:tcPr>
          <w:p w:rsidR="009169EA" w:rsidRPr="00614C19" w:rsidRDefault="009169EA" w:rsidP="00E016D0">
            <w:pPr>
              <w:ind w:right="-1"/>
              <w:jc w:val="center"/>
              <w:rPr>
                <w:rFonts w:cs="Arial"/>
                <w:b/>
                <w:szCs w:val="24"/>
              </w:rPr>
            </w:pPr>
            <w:r w:rsidRPr="00614C19">
              <w:rPr>
                <w:rFonts w:cs="Arial"/>
                <w:b/>
                <w:szCs w:val="24"/>
              </w:rPr>
              <w:t>% Change</w:t>
            </w:r>
          </w:p>
        </w:tc>
        <w:tc>
          <w:tcPr>
            <w:tcW w:w="1718" w:type="dxa"/>
            <w:tcBorders>
              <w:top w:val="single" w:sz="4" w:space="0" w:color="auto"/>
              <w:left w:val="single" w:sz="4" w:space="0" w:color="auto"/>
              <w:bottom w:val="single" w:sz="4" w:space="0" w:color="auto"/>
              <w:right w:val="single" w:sz="4" w:space="0" w:color="auto"/>
            </w:tcBorders>
            <w:vAlign w:val="center"/>
          </w:tcPr>
          <w:p w:rsidR="009169EA" w:rsidRPr="00614C19" w:rsidRDefault="009169EA" w:rsidP="00E016D0">
            <w:pPr>
              <w:ind w:right="-1"/>
              <w:jc w:val="center"/>
              <w:rPr>
                <w:rFonts w:cs="Arial"/>
                <w:b/>
                <w:szCs w:val="24"/>
              </w:rPr>
            </w:pPr>
            <w:r w:rsidRPr="00614C19">
              <w:rPr>
                <w:rFonts w:cs="Arial"/>
                <w:b/>
                <w:szCs w:val="24"/>
              </w:rPr>
              <w:t>% Change</w:t>
            </w:r>
          </w:p>
        </w:tc>
        <w:tc>
          <w:tcPr>
            <w:tcW w:w="1718" w:type="dxa"/>
            <w:tcBorders>
              <w:top w:val="single" w:sz="4" w:space="0" w:color="auto"/>
              <w:left w:val="single" w:sz="4" w:space="0" w:color="auto"/>
              <w:bottom w:val="single" w:sz="4" w:space="0" w:color="auto"/>
              <w:right w:val="single" w:sz="4" w:space="0" w:color="auto"/>
            </w:tcBorders>
            <w:noWrap/>
            <w:vAlign w:val="center"/>
          </w:tcPr>
          <w:p w:rsidR="009169EA" w:rsidRPr="00614C19" w:rsidRDefault="009169EA" w:rsidP="00E016D0">
            <w:pPr>
              <w:ind w:right="-1"/>
              <w:jc w:val="center"/>
              <w:rPr>
                <w:rFonts w:cs="Arial"/>
                <w:b/>
                <w:szCs w:val="24"/>
              </w:rPr>
            </w:pPr>
            <w:r w:rsidRPr="00614C19">
              <w:rPr>
                <w:rFonts w:cs="Arial"/>
                <w:b/>
                <w:szCs w:val="24"/>
              </w:rPr>
              <w:t>% Change</w:t>
            </w:r>
          </w:p>
        </w:tc>
      </w:tr>
      <w:tr w:rsidR="009169EA" w:rsidTr="00614C19">
        <w:trPr>
          <w:trHeight w:val="278"/>
          <w:jc w:val="center"/>
        </w:trPr>
        <w:tc>
          <w:tcPr>
            <w:tcW w:w="286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rPr>
                <w:rFonts w:cs="Arial"/>
                <w:szCs w:val="24"/>
              </w:rPr>
            </w:pPr>
            <w:r w:rsidRPr="00614C19">
              <w:rPr>
                <w:rFonts w:cs="Arial"/>
                <w:szCs w:val="24"/>
              </w:rPr>
              <w:t xml:space="preserve">All businesses </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color w:val="000000"/>
                <w:szCs w:val="24"/>
              </w:rPr>
            </w:pPr>
            <w:r w:rsidRPr="00614C19">
              <w:rPr>
                <w:rFonts w:cs="Arial"/>
                <w:color w:val="000000"/>
                <w:szCs w:val="24"/>
              </w:rPr>
              <w:t>2,135</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14.3</w:t>
            </w:r>
          </w:p>
        </w:tc>
        <w:tc>
          <w:tcPr>
            <w:tcW w:w="1718" w:type="dxa"/>
            <w:tcBorders>
              <w:top w:val="single" w:sz="4" w:space="0" w:color="auto"/>
              <w:left w:val="single" w:sz="4" w:space="0" w:color="auto"/>
              <w:bottom w:val="single" w:sz="4" w:space="0" w:color="auto"/>
              <w:right w:val="single" w:sz="4" w:space="0" w:color="auto"/>
            </w:tcBorders>
            <w:vAlign w:val="bottom"/>
          </w:tcPr>
          <w:p w:rsidR="009169EA" w:rsidRPr="00614C19" w:rsidRDefault="009169EA" w:rsidP="00E016D0">
            <w:pPr>
              <w:ind w:right="-1"/>
              <w:jc w:val="right"/>
              <w:rPr>
                <w:rFonts w:cs="Arial"/>
                <w:szCs w:val="24"/>
              </w:rPr>
            </w:pPr>
            <w:r w:rsidRPr="00614C19">
              <w:rPr>
                <w:rFonts w:cs="Arial"/>
                <w:szCs w:val="24"/>
              </w:rPr>
              <w:t>14.9</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14.1</w:t>
            </w:r>
          </w:p>
        </w:tc>
      </w:tr>
      <w:tr w:rsidR="009169EA" w:rsidTr="00614C19">
        <w:trPr>
          <w:trHeight w:val="278"/>
          <w:jc w:val="center"/>
        </w:trPr>
        <w:tc>
          <w:tcPr>
            <w:tcW w:w="286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Primary</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color w:val="000000"/>
                <w:szCs w:val="24"/>
              </w:rPr>
            </w:pPr>
            <w:r w:rsidRPr="00614C19">
              <w:rPr>
                <w:rFonts w:cs="Arial"/>
                <w:color w:val="000000"/>
                <w:szCs w:val="24"/>
              </w:rPr>
              <w:t>45</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color w:val="000000"/>
                <w:szCs w:val="24"/>
              </w:rPr>
            </w:pPr>
            <w:r w:rsidRPr="00614C19">
              <w:rPr>
                <w:rFonts w:cs="Arial"/>
                <w:color w:val="000000"/>
                <w:szCs w:val="24"/>
              </w:rPr>
              <w:t>12.0</w:t>
            </w:r>
          </w:p>
        </w:tc>
        <w:tc>
          <w:tcPr>
            <w:tcW w:w="1718" w:type="dxa"/>
            <w:tcBorders>
              <w:top w:val="single" w:sz="4" w:space="0" w:color="auto"/>
              <w:left w:val="single" w:sz="4" w:space="0" w:color="auto"/>
              <w:bottom w:val="single" w:sz="4" w:space="0" w:color="auto"/>
              <w:right w:val="single" w:sz="4" w:space="0" w:color="auto"/>
            </w:tcBorders>
            <w:vAlign w:val="bottom"/>
          </w:tcPr>
          <w:p w:rsidR="009169EA" w:rsidRPr="00614C19" w:rsidRDefault="009169EA" w:rsidP="00E016D0">
            <w:pPr>
              <w:ind w:right="-1"/>
              <w:jc w:val="right"/>
              <w:rPr>
                <w:rFonts w:cs="Arial"/>
                <w:color w:val="000000"/>
                <w:szCs w:val="24"/>
              </w:rPr>
            </w:pPr>
            <w:r w:rsidRPr="00614C19">
              <w:rPr>
                <w:rFonts w:cs="Arial"/>
                <w:color w:val="000000"/>
                <w:szCs w:val="24"/>
              </w:rPr>
              <w:t>10.2</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color w:val="000000"/>
                <w:szCs w:val="24"/>
              </w:rPr>
            </w:pPr>
            <w:r w:rsidRPr="00614C19">
              <w:rPr>
                <w:rFonts w:cs="Arial"/>
                <w:color w:val="000000"/>
                <w:szCs w:val="24"/>
              </w:rPr>
              <w:t>7.5</w:t>
            </w:r>
          </w:p>
        </w:tc>
      </w:tr>
      <w:tr w:rsidR="009169EA" w:rsidTr="00614C19">
        <w:trPr>
          <w:trHeight w:val="278"/>
          <w:jc w:val="center"/>
        </w:trPr>
        <w:tc>
          <w:tcPr>
            <w:tcW w:w="286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Manufacturing</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color w:val="000000"/>
                <w:szCs w:val="24"/>
              </w:rPr>
            </w:pPr>
            <w:r w:rsidRPr="00614C19">
              <w:rPr>
                <w:rFonts w:cs="Arial"/>
                <w:color w:val="000000"/>
                <w:szCs w:val="24"/>
              </w:rPr>
              <w:t>25</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color w:val="000000"/>
                <w:szCs w:val="24"/>
              </w:rPr>
            </w:pPr>
            <w:r w:rsidRPr="00614C19">
              <w:rPr>
                <w:rFonts w:cs="Arial"/>
                <w:color w:val="000000"/>
                <w:szCs w:val="24"/>
              </w:rPr>
              <w:t>2.1</w:t>
            </w:r>
          </w:p>
        </w:tc>
        <w:tc>
          <w:tcPr>
            <w:tcW w:w="1718" w:type="dxa"/>
            <w:tcBorders>
              <w:top w:val="single" w:sz="4" w:space="0" w:color="auto"/>
              <w:left w:val="single" w:sz="4" w:space="0" w:color="auto"/>
              <w:bottom w:val="single" w:sz="4" w:space="0" w:color="auto"/>
              <w:right w:val="single" w:sz="4" w:space="0" w:color="auto"/>
            </w:tcBorders>
            <w:vAlign w:val="bottom"/>
          </w:tcPr>
          <w:p w:rsidR="009169EA" w:rsidRPr="00614C19" w:rsidRDefault="009169EA" w:rsidP="00E016D0">
            <w:pPr>
              <w:ind w:right="-1"/>
              <w:jc w:val="right"/>
              <w:rPr>
                <w:rFonts w:cs="Arial"/>
                <w:color w:val="000000"/>
                <w:szCs w:val="24"/>
              </w:rPr>
            </w:pPr>
            <w:r w:rsidRPr="00614C19">
              <w:rPr>
                <w:rFonts w:cs="Arial"/>
                <w:color w:val="000000"/>
                <w:szCs w:val="24"/>
              </w:rPr>
              <w:t>3.5</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color w:val="000000"/>
                <w:szCs w:val="24"/>
              </w:rPr>
            </w:pPr>
            <w:r w:rsidRPr="00614C19">
              <w:rPr>
                <w:rFonts w:cs="Arial"/>
                <w:color w:val="000000"/>
                <w:szCs w:val="24"/>
              </w:rPr>
              <w:t>5.3</w:t>
            </w:r>
          </w:p>
        </w:tc>
      </w:tr>
      <w:tr w:rsidR="009169EA" w:rsidTr="00614C19">
        <w:trPr>
          <w:trHeight w:val="278"/>
          <w:jc w:val="center"/>
        </w:trPr>
        <w:tc>
          <w:tcPr>
            <w:tcW w:w="286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Construction</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color w:val="000000"/>
                <w:szCs w:val="24"/>
              </w:rPr>
            </w:pPr>
            <w:r w:rsidRPr="00614C19">
              <w:rPr>
                <w:rFonts w:cs="Arial"/>
                <w:color w:val="000000"/>
                <w:szCs w:val="24"/>
              </w:rPr>
              <w:t>65</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color w:val="000000"/>
                <w:szCs w:val="24"/>
              </w:rPr>
            </w:pPr>
            <w:r w:rsidRPr="00614C19">
              <w:rPr>
                <w:rFonts w:cs="Arial"/>
                <w:color w:val="000000"/>
                <w:szCs w:val="24"/>
              </w:rPr>
              <w:t>4.7</w:t>
            </w:r>
          </w:p>
        </w:tc>
        <w:tc>
          <w:tcPr>
            <w:tcW w:w="1718" w:type="dxa"/>
            <w:tcBorders>
              <w:top w:val="single" w:sz="4" w:space="0" w:color="auto"/>
              <w:left w:val="single" w:sz="4" w:space="0" w:color="auto"/>
              <w:bottom w:val="single" w:sz="4" w:space="0" w:color="auto"/>
              <w:right w:val="single" w:sz="4" w:space="0" w:color="auto"/>
            </w:tcBorders>
            <w:vAlign w:val="bottom"/>
          </w:tcPr>
          <w:p w:rsidR="009169EA" w:rsidRPr="00614C19" w:rsidRDefault="009169EA" w:rsidP="00E016D0">
            <w:pPr>
              <w:ind w:right="-1"/>
              <w:jc w:val="right"/>
              <w:rPr>
                <w:rFonts w:cs="Arial"/>
                <w:color w:val="000000"/>
                <w:szCs w:val="24"/>
              </w:rPr>
            </w:pPr>
            <w:r w:rsidRPr="00614C19">
              <w:rPr>
                <w:rFonts w:cs="Arial"/>
                <w:color w:val="000000"/>
                <w:szCs w:val="24"/>
              </w:rPr>
              <w:t>4.2</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color w:val="000000"/>
                <w:szCs w:val="24"/>
              </w:rPr>
            </w:pPr>
            <w:r w:rsidRPr="00614C19">
              <w:rPr>
                <w:rFonts w:cs="Arial"/>
                <w:color w:val="000000"/>
                <w:szCs w:val="24"/>
              </w:rPr>
              <w:t>8.0</w:t>
            </w:r>
          </w:p>
        </w:tc>
      </w:tr>
      <w:tr w:rsidR="009169EA" w:rsidTr="00614C19">
        <w:trPr>
          <w:trHeight w:val="278"/>
          <w:jc w:val="center"/>
        </w:trPr>
        <w:tc>
          <w:tcPr>
            <w:tcW w:w="286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szCs w:val="24"/>
              </w:rPr>
            </w:pPr>
            <w:r w:rsidRPr="00614C19">
              <w:rPr>
                <w:rFonts w:cs="Arial"/>
                <w:szCs w:val="24"/>
              </w:rPr>
              <w:t>Services</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color w:val="000000"/>
                <w:szCs w:val="24"/>
              </w:rPr>
            </w:pPr>
            <w:r w:rsidRPr="00614C19">
              <w:rPr>
                <w:rFonts w:cs="Arial"/>
                <w:color w:val="000000"/>
                <w:szCs w:val="24"/>
              </w:rPr>
              <w:t>1,990</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color w:val="000000"/>
                <w:szCs w:val="24"/>
              </w:rPr>
            </w:pPr>
            <w:r w:rsidRPr="00614C19">
              <w:rPr>
                <w:rFonts w:cs="Arial"/>
                <w:color w:val="000000"/>
                <w:szCs w:val="24"/>
              </w:rPr>
              <w:t>16.7</w:t>
            </w:r>
          </w:p>
        </w:tc>
        <w:tc>
          <w:tcPr>
            <w:tcW w:w="1718" w:type="dxa"/>
            <w:tcBorders>
              <w:top w:val="single" w:sz="4" w:space="0" w:color="auto"/>
              <w:left w:val="single" w:sz="4" w:space="0" w:color="auto"/>
              <w:bottom w:val="single" w:sz="4" w:space="0" w:color="auto"/>
              <w:right w:val="single" w:sz="4" w:space="0" w:color="auto"/>
            </w:tcBorders>
            <w:vAlign w:val="bottom"/>
          </w:tcPr>
          <w:p w:rsidR="009169EA" w:rsidRPr="00614C19" w:rsidRDefault="009169EA" w:rsidP="00E016D0">
            <w:pPr>
              <w:ind w:right="-1"/>
              <w:jc w:val="right"/>
              <w:rPr>
                <w:rFonts w:cs="Arial"/>
                <w:color w:val="000000"/>
                <w:szCs w:val="24"/>
              </w:rPr>
            </w:pPr>
            <w:r w:rsidRPr="00614C19">
              <w:rPr>
                <w:rFonts w:cs="Arial"/>
                <w:color w:val="000000"/>
                <w:szCs w:val="24"/>
              </w:rPr>
              <w:t>17.7</w:t>
            </w:r>
          </w:p>
        </w:tc>
        <w:tc>
          <w:tcPr>
            <w:tcW w:w="171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color w:val="000000"/>
                <w:szCs w:val="24"/>
              </w:rPr>
            </w:pPr>
            <w:r w:rsidRPr="00614C19">
              <w:rPr>
                <w:rFonts w:cs="Arial"/>
                <w:color w:val="000000"/>
                <w:szCs w:val="24"/>
              </w:rPr>
              <w:t>16.1</w:t>
            </w:r>
          </w:p>
        </w:tc>
      </w:tr>
    </w:tbl>
    <w:p w:rsidR="009169EA" w:rsidRDefault="009169EA" w:rsidP="00E016D0">
      <w:pPr>
        <w:ind w:right="-1"/>
        <w:rPr>
          <w:rFonts w:cs="Arial"/>
        </w:rPr>
      </w:pPr>
    </w:p>
    <w:p w:rsidR="009169EA" w:rsidRPr="008F1636" w:rsidRDefault="009169EA" w:rsidP="00500D60">
      <w:pPr>
        <w:spacing w:after="120"/>
        <w:rPr>
          <w:rFonts w:cs="Arial"/>
        </w:rPr>
      </w:pPr>
      <w:r w:rsidRPr="008F1636">
        <w:rPr>
          <w:rFonts w:cs="Arial"/>
        </w:rPr>
        <w:t>Bradford’s total number of businesses in 2015 is now higher the 2009 pre-recession total.  The majority of new businesses were service sector businesses with an increase of 1,990 that was 93% of the total increase. Growth of service sector businesses was higher the UK average but lower than the overall Leeds City Region increase.</w:t>
      </w:r>
    </w:p>
    <w:p w:rsidR="009169EA" w:rsidRPr="008F1636" w:rsidRDefault="009169EA" w:rsidP="00500D60">
      <w:pPr>
        <w:spacing w:after="120"/>
        <w:rPr>
          <w:rFonts w:cs="Arial"/>
        </w:rPr>
      </w:pPr>
      <w:r w:rsidRPr="008F1636">
        <w:rPr>
          <w:rFonts w:cs="Arial"/>
        </w:rPr>
        <w:t xml:space="preserve">Bradford had a bigger than average increase in the number of primary sector businesses and a lower than average increase in manufacturing businesses. </w:t>
      </w:r>
    </w:p>
    <w:p w:rsidR="006C2098" w:rsidRPr="008F1636" w:rsidRDefault="009169EA" w:rsidP="00500D60">
      <w:pPr>
        <w:spacing w:after="120"/>
        <w:rPr>
          <w:rFonts w:cs="Arial"/>
        </w:rPr>
      </w:pPr>
      <w:r w:rsidRPr="008F1636">
        <w:rPr>
          <w:rFonts w:cs="Arial"/>
        </w:rPr>
        <w:t xml:space="preserve">Construction businesses growth was much lower than the UK figure but higher than the city region average. </w:t>
      </w:r>
    </w:p>
    <w:p w:rsidR="00BA077B" w:rsidRPr="00BA077B" w:rsidRDefault="00BA077B" w:rsidP="00E016D0">
      <w:pPr>
        <w:pStyle w:val="Heading1"/>
        <w:ind w:right="-1"/>
      </w:pPr>
      <w:r w:rsidRPr="00BA077B">
        <w:lastRenderedPageBreak/>
        <w:t>Business Trends By Sector</w:t>
      </w:r>
    </w:p>
    <w:p w:rsidR="009169EA" w:rsidRDefault="006C2098" w:rsidP="00E016D0">
      <w:pPr>
        <w:pStyle w:val="Heading1"/>
        <w:ind w:right="-1"/>
      </w:pPr>
      <w:r w:rsidRPr="006C2098">
        <w:rPr>
          <w:noProof/>
          <w:lang w:eastAsia="en-GB"/>
        </w:rPr>
        <w:drawing>
          <wp:inline distT="0" distB="0" distL="0" distR="0" wp14:anchorId="7EC6CA4F" wp14:editId="2B4C245F">
            <wp:extent cx="5943600" cy="3611245"/>
            <wp:effectExtent l="19050" t="19050" r="19050" b="273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611245"/>
                    </a:xfrm>
                    <a:prstGeom prst="rect">
                      <a:avLst/>
                    </a:prstGeom>
                    <a:ln>
                      <a:solidFill>
                        <a:schemeClr val="tx1"/>
                      </a:solidFill>
                    </a:ln>
                  </pic:spPr>
                </pic:pic>
              </a:graphicData>
            </a:graphic>
          </wp:inline>
        </w:drawing>
      </w:r>
    </w:p>
    <w:p w:rsidR="00BA077B" w:rsidRPr="00BA077B" w:rsidRDefault="00BA077B" w:rsidP="00E016D0">
      <w:pPr>
        <w:ind w:right="-1"/>
      </w:pPr>
    </w:p>
    <w:p w:rsidR="009169EA" w:rsidRPr="009169EA" w:rsidRDefault="009169EA" w:rsidP="00E016D0">
      <w:pPr>
        <w:pStyle w:val="Heading1"/>
        <w:ind w:right="-1"/>
      </w:pPr>
      <w:r w:rsidRPr="009169EA">
        <w:t>Business start ups, closures and survival</w:t>
      </w:r>
    </w:p>
    <w:p w:rsidR="009169EA" w:rsidRPr="00500D60" w:rsidRDefault="009169EA" w:rsidP="00500D60">
      <w:pPr>
        <w:spacing w:after="120"/>
        <w:rPr>
          <w:rFonts w:cs="Arial"/>
        </w:rPr>
      </w:pPr>
      <w:r w:rsidRPr="00500D60">
        <w:rPr>
          <w:rFonts w:cs="Arial"/>
        </w:rPr>
        <w:t xml:space="preserve">Business start ups are important to improving the District’s relatively low business density level. The recession reduced the number of business births by 290 between 2007 and 2011. Latest data shows a big upturn in business births and a decrease in business deaths although the birth growth rate at 1.3% was below West Yorkshire and England averages of +2.5% and +12% respectively. Business closures reached a high of 1,785 in 2009 but fell for two consecutive years to 1,425 in 2011. </w:t>
      </w:r>
    </w:p>
    <w:p w:rsidR="009169EA" w:rsidRPr="00BA06D3" w:rsidRDefault="009169EA" w:rsidP="00E016D0">
      <w:pPr>
        <w:tabs>
          <w:tab w:val="left" w:pos="915"/>
        </w:tabs>
        <w:ind w:right="-1"/>
        <w:rPr>
          <w:rFonts w:cs="Arial"/>
          <w:sz w:val="16"/>
          <w:szCs w:val="16"/>
        </w:rPr>
      </w:pPr>
    </w:p>
    <w:tbl>
      <w:tblPr>
        <w:tblW w:w="9738" w:type="dxa"/>
        <w:tblInd w:w="103" w:type="dxa"/>
        <w:tblLayout w:type="fixed"/>
        <w:tblLook w:val="0000" w:firstRow="0" w:lastRow="0" w:firstColumn="0" w:lastColumn="0" w:noHBand="0" w:noVBand="0"/>
      </w:tblPr>
      <w:tblGrid>
        <w:gridCol w:w="3978"/>
        <w:gridCol w:w="1920"/>
        <w:gridCol w:w="1920"/>
        <w:gridCol w:w="1920"/>
      </w:tblGrid>
      <w:tr w:rsidR="009169EA" w:rsidRPr="00CB5D24" w:rsidTr="00614C19">
        <w:trPr>
          <w:trHeight w:val="266"/>
        </w:trPr>
        <w:tc>
          <w:tcPr>
            <w:tcW w:w="397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rsidR="009169EA" w:rsidRPr="00614C19" w:rsidRDefault="009169EA" w:rsidP="00E016D0">
            <w:pPr>
              <w:ind w:right="-1"/>
              <w:rPr>
                <w:rFonts w:cs="Arial"/>
                <w:b/>
                <w:bCs/>
                <w:color w:val="FFFFFF" w:themeColor="background1"/>
              </w:rPr>
            </w:pPr>
          </w:p>
        </w:tc>
        <w:tc>
          <w:tcPr>
            <w:tcW w:w="1920" w:type="dxa"/>
            <w:tcBorders>
              <w:top w:val="single" w:sz="4" w:space="0" w:color="auto"/>
              <w:left w:val="nil"/>
              <w:bottom w:val="single" w:sz="4" w:space="0" w:color="auto"/>
              <w:right w:val="single" w:sz="4" w:space="0" w:color="auto"/>
            </w:tcBorders>
            <w:shd w:val="clear" w:color="auto" w:fill="4F81BD" w:themeFill="accent1"/>
            <w:noWrap/>
            <w:vAlign w:val="center"/>
          </w:tcPr>
          <w:p w:rsidR="009169EA" w:rsidRPr="00614C19" w:rsidRDefault="009169EA" w:rsidP="00E016D0">
            <w:pPr>
              <w:ind w:right="-1"/>
              <w:jc w:val="center"/>
              <w:rPr>
                <w:rFonts w:cs="Arial"/>
                <w:b/>
                <w:bCs/>
                <w:color w:val="FFFFFF" w:themeColor="background1"/>
              </w:rPr>
            </w:pPr>
            <w:r w:rsidRPr="00614C19">
              <w:rPr>
                <w:rFonts w:cs="Arial"/>
                <w:b/>
                <w:bCs/>
                <w:color w:val="FFFFFF" w:themeColor="background1"/>
              </w:rPr>
              <w:t>Bradford</w:t>
            </w:r>
          </w:p>
        </w:tc>
        <w:tc>
          <w:tcPr>
            <w:tcW w:w="1920" w:type="dxa"/>
            <w:tcBorders>
              <w:top w:val="single" w:sz="4" w:space="0" w:color="auto"/>
              <w:left w:val="nil"/>
              <w:bottom w:val="single" w:sz="4" w:space="0" w:color="auto"/>
              <w:right w:val="single" w:sz="4" w:space="0" w:color="auto"/>
            </w:tcBorders>
            <w:shd w:val="clear" w:color="auto" w:fill="4F81BD" w:themeFill="accent1"/>
            <w:vAlign w:val="center"/>
          </w:tcPr>
          <w:p w:rsidR="009169EA" w:rsidRPr="00614C19" w:rsidRDefault="009169EA" w:rsidP="00E016D0">
            <w:pPr>
              <w:ind w:right="-1"/>
              <w:jc w:val="center"/>
              <w:rPr>
                <w:rFonts w:cs="Arial"/>
                <w:b/>
                <w:bCs/>
                <w:color w:val="FFFFFF" w:themeColor="background1"/>
              </w:rPr>
            </w:pPr>
            <w:r w:rsidRPr="00614C19">
              <w:rPr>
                <w:rFonts w:cs="Arial"/>
                <w:b/>
                <w:bCs/>
                <w:color w:val="FFFFFF" w:themeColor="background1"/>
              </w:rPr>
              <w:t>West Yorkshire</w:t>
            </w:r>
          </w:p>
        </w:tc>
        <w:tc>
          <w:tcPr>
            <w:tcW w:w="1920" w:type="dxa"/>
            <w:tcBorders>
              <w:top w:val="single" w:sz="4" w:space="0" w:color="auto"/>
              <w:left w:val="nil"/>
              <w:bottom w:val="single" w:sz="4" w:space="0" w:color="auto"/>
              <w:right w:val="single" w:sz="4" w:space="0" w:color="auto"/>
            </w:tcBorders>
            <w:shd w:val="clear" w:color="auto" w:fill="4F81BD" w:themeFill="accent1"/>
            <w:noWrap/>
            <w:vAlign w:val="center"/>
          </w:tcPr>
          <w:p w:rsidR="009169EA" w:rsidRPr="00614C19" w:rsidRDefault="009169EA" w:rsidP="00E016D0">
            <w:pPr>
              <w:ind w:right="-1"/>
              <w:jc w:val="center"/>
              <w:rPr>
                <w:rFonts w:cs="Arial"/>
                <w:b/>
                <w:bCs/>
                <w:color w:val="FFFFFF" w:themeColor="background1"/>
              </w:rPr>
            </w:pPr>
            <w:r w:rsidRPr="00614C19">
              <w:rPr>
                <w:rFonts w:cs="Arial"/>
                <w:b/>
                <w:bCs/>
                <w:color w:val="FFFFFF" w:themeColor="background1"/>
              </w:rPr>
              <w:t>England</w:t>
            </w:r>
          </w:p>
        </w:tc>
      </w:tr>
      <w:tr w:rsidR="009169EA" w:rsidTr="00614C19">
        <w:trPr>
          <w:trHeight w:val="285"/>
        </w:trPr>
        <w:tc>
          <w:tcPr>
            <w:tcW w:w="397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rPr>
                <w:rFonts w:cs="Arial"/>
              </w:rPr>
            </w:pPr>
            <w:r w:rsidRPr="00614C19">
              <w:rPr>
                <w:rFonts w:cs="Arial"/>
              </w:rPr>
              <w:t>Total businesses 2015</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B030A1" w:rsidP="00E016D0">
            <w:pPr>
              <w:ind w:right="-1"/>
              <w:jc w:val="right"/>
              <w:rPr>
                <w:rFonts w:cs="Arial"/>
              </w:rPr>
            </w:pPr>
            <w:r>
              <w:rPr>
                <w:rFonts w:cs="Arial"/>
              </w:rPr>
              <w:t>17,620</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B030A1" w:rsidP="00E016D0">
            <w:pPr>
              <w:ind w:right="-1"/>
              <w:jc w:val="right"/>
              <w:rPr>
                <w:rFonts w:cs="Arial"/>
              </w:rPr>
            </w:pPr>
            <w:r>
              <w:rPr>
                <w:rFonts w:cs="Arial"/>
              </w:rPr>
              <w:t>121,635</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B030A1" w:rsidP="00E016D0">
            <w:pPr>
              <w:ind w:right="-1"/>
              <w:jc w:val="right"/>
              <w:rPr>
                <w:rFonts w:cs="Arial"/>
              </w:rPr>
            </w:pPr>
            <w:r>
              <w:rPr>
                <w:rFonts w:cs="Arial"/>
              </w:rPr>
              <w:t>3,010,060</w:t>
            </w:r>
          </w:p>
        </w:tc>
      </w:tr>
      <w:tr w:rsidR="009169EA" w:rsidTr="00614C19">
        <w:trPr>
          <w:trHeight w:val="285"/>
        </w:trPr>
        <w:tc>
          <w:tcPr>
            <w:tcW w:w="397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rPr>
                <w:rFonts w:cs="Arial"/>
              </w:rPr>
            </w:pPr>
            <w:r w:rsidRPr="00614C19">
              <w:rPr>
                <w:rFonts w:cs="Arial"/>
              </w:rPr>
              <w:t>Business Births 2014</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r w:rsidRPr="00614C19">
              <w:rPr>
                <w:rFonts w:cs="Arial"/>
              </w:rPr>
              <w:t>2,150</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r w:rsidRPr="00614C19">
              <w:rPr>
                <w:rFonts w:cs="Arial"/>
              </w:rPr>
              <w:t>10,515</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r w:rsidRPr="00614C19">
              <w:rPr>
                <w:rFonts w:cs="Arial"/>
              </w:rPr>
              <w:t>350,585</w:t>
            </w:r>
          </w:p>
        </w:tc>
      </w:tr>
      <w:tr w:rsidR="009169EA" w:rsidTr="00614C19">
        <w:trPr>
          <w:trHeight w:val="285"/>
        </w:trPr>
        <w:tc>
          <w:tcPr>
            <w:tcW w:w="397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rPr>
                <w:rFonts w:cs="Arial"/>
              </w:rPr>
            </w:pPr>
            <w:r w:rsidRPr="00614C19">
              <w:rPr>
                <w:rFonts w:cs="Arial"/>
              </w:rPr>
              <w:t>Business Deaths 2014</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r w:rsidRPr="00614C19">
              <w:rPr>
                <w:rFonts w:cs="Arial"/>
              </w:rPr>
              <w:t>1,550</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r w:rsidRPr="00614C19">
              <w:rPr>
                <w:rFonts w:cs="Arial"/>
              </w:rPr>
              <w:t>7,360</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r w:rsidRPr="00614C19">
              <w:rPr>
                <w:rFonts w:cs="Arial"/>
              </w:rPr>
              <w:t>245,835</w:t>
            </w:r>
          </w:p>
        </w:tc>
      </w:tr>
      <w:tr w:rsidR="009169EA" w:rsidTr="00614C19">
        <w:trPr>
          <w:trHeight w:val="285"/>
        </w:trPr>
        <w:tc>
          <w:tcPr>
            <w:tcW w:w="397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rPr>
            </w:pPr>
            <w:r w:rsidRPr="00614C19">
              <w:rPr>
                <w:rFonts w:cs="Arial"/>
              </w:rPr>
              <w:t xml:space="preserve">Change (number) </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r w:rsidRPr="00614C19">
              <w:rPr>
                <w:rFonts w:cs="Arial"/>
              </w:rPr>
              <w:t>+600</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r w:rsidRPr="00614C19">
              <w:rPr>
                <w:rFonts w:cs="Arial"/>
              </w:rPr>
              <w:t>+3,155</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r w:rsidRPr="00614C19">
              <w:rPr>
                <w:rFonts w:cs="Arial"/>
              </w:rPr>
              <w:t>+104,750</w:t>
            </w:r>
          </w:p>
        </w:tc>
      </w:tr>
      <w:tr w:rsidR="009169EA" w:rsidTr="00614C19">
        <w:trPr>
          <w:trHeight w:val="285"/>
        </w:trPr>
        <w:tc>
          <w:tcPr>
            <w:tcW w:w="397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jc w:val="right"/>
              <w:rPr>
                <w:rFonts w:cs="Arial"/>
              </w:rPr>
            </w:pP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p>
        </w:tc>
      </w:tr>
      <w:tr w:rsidR="009169EA" w:rsidTr="00614C19">
        <w:trPr>
          <w:trHeight w:val="285"/>
        </w:trPr>
        <w:tc>
          <w:tcPr>
            <w:tcW w:w="397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rPr>
                <w:rFonts w:cs="Arial"/>
                <w:i/>
              </w:rPr>
            </w:pPr>
            <w:r w:rsidRPr="00614C19">
              <w:rPr>
                <w:rFonts w:cs="Arial"/>
                <w:i/>
              </w:rPr>
              <w:t>Rates per 10,000 work age population (16-64) 2014</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rPr>
                <w:rFonts w:cs="Arial"/>
                <w:i/>
              </w:rPr>
            </w:pPr>
            <w:r w:rsidRPr="00614C19">
              <w:rPr>
                <w:rFonts w:cs="Arial"/>
                <w:i/>
              </w:rPr>
              <w:t> </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rPr>
                <w:rFonts w:cs="Arial"/>
                <w:i/>
              </w:rPr>
            </w:pPr>
            <w:r w:rsidRPr="00614C19">
              <w:rPr>
                <w:rFonts w:cs="Arial"/>
                <w:i/>
              </w:rPr>
              <w:t> </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rPr>
                <w:rFonts w:cs="Arial"/>
                <w:i/>
              </w:rPr>
            </w:pPr>
            <w:r w:rsidRPr="00614C19">
              <w:rPr>
                <w:rFonts w:cs="Arial"/>
                <w:i/>
              </w:rPr>
              <w:t> </w:t>
            </w:r>
          </w:p>
        </w:tc>
      </w:tr>
      <w:tr w:rsidR="009169EA" w:rsidTr="00614C19">
        <w:trPr>
          <w:trHeight w:val="285"/>
        </w:trPr>
        <w:tc>
          <w:tcPr>
            <w:tcW w:w="397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rPr>
                <w:rFonts w:cs="Arial"/>
                <w:i/>
              </w:rPr>
            </w:pPr>
            <w:r w:rsidRPr="00614C19">
              <w:rPr>
                <w:rFonts w:cs="Arial"/>
                <w:i/>
              </w:rPr>
              <w:t xml:space="preserve">  Business birth rate </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i/>
              </w:rPr>
            </w:pPr>
            <w:r w:rsidRPr="00614C19">
              <w:rPr>
                <w:rFonts w:cs="Arial"/>
                <w:i/>
              </w:rPr>
              <w:t>65</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i/>
              </w:rPr>
            </w:pPr>
            <w:r w:rsidRPr="00614C19">
              <w:rPr>
                <w:rFonts w:cs="Arial"/>
                <w:i/>
              </w:rPr>
              <w:t>73</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i/>
              </w:rPr>
            </w:pPr>
            <w:r w:rsidRPr="00614C19">
              <w:rPr>
                <w:rFonts w:cs="Arial"/>
                <w:i/>
              </w:rPr>
              <w:t>85</w:t>
            </w:r>
          </w:p>
        </w:tc>
      </w:tr>
      <w:tr w:rsidR="009169EA" w:rsidTr="00614C19">
        <w:trPr>
          <w:trHeight w:val="285"/>
        </w:trPr>
        <w:tc>
          <w:tcPr>
            <w:tcW w:w="397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rPr>
                <w:rFonts w:cs="Arial"/>
                <w:i/>
              </w:rPr>
            </w:pPr>
            <w:r w:rsidRPr="00614C19">
              <w:rPr>
                <w:rFonts w:cs="Arial"/>
                <w:i/>
              </w:rPr>
              <w:t xml:space="preserve">  Business death rate </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i/>
              </w:rPr>
            </w:pPr>
            <w:r w:rsidRPr="00614C19">
              <w:rPr>
                <w:rFonts w:cs="Arial"/>
                <w:i/>
              </w:rPr>
              <w:t>47</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i/>
              </w:rPr>
            </w:pPr>
            <w:r w:rsidRPr="00614C19">
              <w:rPr>
                <w:rFonts w:cs="Arial"/>
                <w:i/>
              </w:rPr>
              <w:t>51</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i/>
              </w:rPr>
            </w:pPr>
            <w:r w:rsidRPr="00614C19">
              <w:rPr>
                <w:rFonts w:cs="Arial"/>
                <w:i/>
              </w:rPr>
              <w:t>60</w:t>
            </w:r>
          </w:p>
        </w:tc>
      </w:tr>
      <w:tr w:rsidR="009169EA" w:rsidTr="00614C19">
        <w:trPr>
          <w:trHeight w:val="285"/>
        </w:trPr>
        <w:tc>
          <w:tcPr>
            <w:tcW w:w="397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rPr>
                <w:rFonts w:cs="Arial"/>
                <w:i/>
              </w:rPr>
            </w:pPr>
            <w:r w:rsidRPr="00614C19">
              <w:rPr>
                <w:rFonts w:cs="Arial"/>
                <w:i/>
              </w:rPr>
              <w:t xml:space="preserve">  Business stock (density)  </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i/>
              </w:rPr>
            </w:pPr>
            <w:r w:rsidRPr="00614C19">
              <w:rPr>
                <w:rFonts w:cs="Arial"/>
                <w:i/>
              </w:rPr>
              <w:t>478</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i/>
              </w:rPr>
            </w:pPr>
            <w:r w:rsidRPr="00614C19">
              <w:rPr>
                <w:rFonts w:cs="Arial"/>
                <w:i/>
              </w:rPr>
              <w:t>524</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i/>
              </w:rPr>
            </w:pPr>
            <w:r w:rsidRPr="00614C19">
              <w:rPr>
                <w:rFonts w:cs="Arial"/>
                <w:i/>
              </w:rPr>
              <w:t>622</w:t>
            </w:r>
          </w:p>
        </w:tc>
      </w:tr>
      <w:tr w:rsidR="009169EA" w:rsidTr="00614C19">
        <w:trPr>
          <w:trHeight w:val="285"/>
        </w:trPr>
        <w:tc>
          <w:tcPr>
            <w:tcW w:w="397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rPr>
                <w:rFonts w:cs="Arial"/>
              </w:rPr>
            </w:pPr>
            <w:r w:rsidRPr="00614C19">
              <w:rPr>
                <w:rFonts w:cs="Arial"/>
              </w:rPr>
              <w:t>Survival rate - one year from 2013</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r w:rsidRPr="00614C19">
              <w:rPr>
                <w:rFonts w:cs="Arial"/>
              </w:rPr>
              <w:t>94.9%</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r w:rsidRPr="00614C19">
              <w:rPr>
                <w:rFonts w:cs="Arial"/>
              </w:rPr>
              <w:t>94.2%</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r w:rsidRPr="00614C19">
              <w:rPr>
                <w:rFonts w:cs="Arial"/>
              </w:rPr>
              <w:t>93.5%</w:t>
            </w:r>
          </w:p>
        </w:tc>
      </w:tr>
      <w:tr w:rsidR="009169EA" w:rsidTr="00614C19">
        <w:trPr>
          <w:trHeight w:val="285"/>
        </w:trPr>
        <w:tc>
          <w:tcPr>
            <w:tcW w:w="3978" w:type="dxa"/>
            <w:tcBorders>
              <w:top w:val="single" w:sz="4" w:space="0" w:color="auto"/>
              <w:left w:val="single" w:sz="4" w:space="0" w:color="auto"/>
              <w:bottom w:val="single" w:sz="4" w:space="0" w:color="auto"/>
              <w:right w:val="single" w:sz="4" w:space="0" w:color="auto"/>
            </w:tcBorders>
            <w:noWrap/>
            <w:vAlign w:val="bottom"/>
          </w:tcPr>
          <w:p w:rsidR="009169EA" w:rsidRPr="00614C19" w:rsidRDefault="009169EA" w:rsidP="00E016D0">
            <w:pPr>
              <w:ind w:right="-1"/>
              <w:rPr>
                <w:rFonts w:cs="Arial"/>
              </w:rPr>
            </w:pPr>
            <w:r w:rsidRPr="00614C19">
              <w:rPr>
                <w:rFonts w:cs="Arial"/>
              </w:rPr>
              <w:t>Survival rate - five years from 2009</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r w:rsidRPr="00614C19">
              <w:rPr>
                <w:rFonts w:cs="Arial"/>
              </w:rPr>
              <w:t>42.3%</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r w:rsidRPr="00614C19">
              <w:rPr>
                <w:rFonts w:cs="Arial"/>
              </w:rPr>
              <w:t>42.0%</w:t>
            </w:r>
          </w:p>
        </w:tc>
        <w:tc>
          <w:tcPr>
            <w:tcW w:w="1920" w:type="dxa"/>
            <w:tcBorders>
              <w:top w:val="single" w:sz="4" w:space="0" w:color="auto"/>
              <w:left w:val="nil"/>
              <w:bottom w:val="single" w:sz="4" w:space="0" w:color="auto"/>
              <w:right w:val="single" w:sz="4" w:space="0" w:color="auto"/>
            </w:tcBorders>
            <w:noWrap/>
            <w:vAlign w:val="bottom"/>
          </w:tcPr>
          <w:p w:rsidR="009169EA" w:rsidRPr="00614C19" w:rsidRDefault="009169EA" w:rsidP="00E016D0">
            <w:pPr>
              <w:ind w:right="-1"/>
              <w:jc w:val="right"/>
              <w:rPr>
                <w:rFonts w:cs="Arial"/>
              </w:rPr>
            </w:pPr>
            <w:r w:rsidRPr="00614C19">
              <w:rPr>
                <w:rFonts w:cs="Arial"/>
              </w:rPr>
              <w:t>41.7%</w:t>
            </w:r>
          </w:p>
        </w:tc>
      </w:tr>
    </w:tbl>
    <w:p w:rsidR="009169EA" w:rsidRDefault="009169EA" w:rsidP="00E016D0">
      <w:pPr>
        <w:ind w:right="-1"/>
        <w:rPr>
          <w:rFonts w:cs="Arial"/>
          <w:b/>
          <w:i/>
        </w:rPr>
      </w:pPr>
    </w:p>
    <w:p w:rsidR="009169EA" w:rsidRDefault="009169EA" w:rsidP="00500D60">
      <w:pPr>
        <w:spacing w:after="120"/>
        <w:rPr>
          <w:rFonts w:cs="Arial"/>
        </w:rPr>
      </w:pPr>
      <w:r w:rsidRPr="007108CA">
        <w:rPr>
          <w:rFonts w:cs="Arial"/>
        </w:rPr>
        <w:t xml:space="preserve">Over recent years </w:t>
      </w:r>
      <w:smartTag w:uri="urn:schemas-microsoft-com:office:smarttags" w:element="place">
        <w:r w:rsidRPr="007108CA">
          <w:rPr>
            <w:rFonts w:cs="Arial"/>
          </w:rPr>
          <w:t>Bradford</w:t>
        </w:r>
      </w:smartTag>
      <w:r w:rsidRPr="007108CA">
        <w:rPr>
          <w:rFonts w:cs="Arial"/>
        </w:rPr>
        <w:t>’s one year business survival rate i</w:t>
      </w:r>
      <w:r>
        <w:rPr>
          <w:rFonts w:cs="Arial"/>
        </w:rPr>
        <w:t>mproved relative to other areas</w:t>
      </w:r>
      <w:r w:rsidRPr="007108CA">
        <w:rPr>
          <w:rFonts w:cs="Arial"/>
        </w:rPr>
        <w:t xml:space="preserve">. </w:t>
      </w:r>
      <w:r>
        <w:rPr>
          <w:rFonts w:cs="Arial"/>
        </w:rPr>
        <w:t xml:space="preserve">94.9% </w:t>
      </w:r>
      <w:r w:rsidRPr="007108CA">
        <w:rPr>
          <w:rFonts w:cs="Arial"/>
        </w:rPr>
        <w:t>of busin</w:t>
      </w:r>
      <w:r>
        <w:rPr>
          <w:rFonts w:cs="Arial"/>
        </w:rPr>
        <w:t>esses formed in Bradford in 2013</w:t>
      </w:r>
      <w:r w:rsidRPr="007108CA">
        <w:rPr>
          <w:rFonts w:cs="Arial"/>
        </w:rPr>
        <w:t xml:space="preserve"> surv</w:t>
      </w:r>
      <w:r>
        <w:rPr>
          <w:rFonts w:cs="Arial"/>
        </w:rPr>
        <w:t>ived for a year compared with 93.5</w:t>
      </w:r>
      <w:r w:rsidRPr="007108CA">
        <w:rPr>
          <w:rFonts w:cs="Arial"/>
        </w:rPr>
        <w:t xml:space="preserve">% in </w:t>
      </w:r>
      <w:smartTag w:uri="urn:schemas-microsoft-com:office:smarttags" w:element="country-region">
        <w:r w:rsidRPr="007108CA">
          <w:rPr>
            <w:rFonts w:cs="Arial"/>
          </w:rPr>
          <w:t>England</w:t>
        </w:r>
      </w:smartTag>
      <w:r>
        <w:rPr>
          <w:rFonts w:cs="Arial"/>
        </w:rPr>
        <w:t xml:space="preserve"> and 94.2</w:t>
      </w:r>
      <w:r w:rsidRPr="007108CA">
        <w:rPr>
          <w:rFonts w:cs="Arial"/>
        </w:rPr>
        <w:t xml:space="preserve">% in </w:t>
      </w:r>
      <w:smartTag w:uri="urn:schemas-microsoft-com:office:smarttags" w:element="place">
        <w:r w:rsidRPr="007108CA">
          <w:rPr>
            <w:rFonts w:cs="Arial"/>
          </w:rPr>
          <w:t>West Yorkshire</w:t>
        </w:r>
      </w:smartTag>
      <w:r>
        <w:rPr>
          <w:rFonts w:cs="Arial"/>
        </w:rPr>
        <w:t>. Bradford’s five year survival rate at 42.3</w:t>
      </w:r>
      <w:r w:rsidRPr="007108CA">
        <w:rPr>
          <w:rFonts w:cs="Arial"/>
        </w:rPr>
        <w:t xml:space="preserve">% was </w:t>
      </w:r>
      <w:r>
        <w:rPr>
          <w:rFonts w:cs="Arial"/>
        </w:rPr>
        <w:t xml:space="preserve">higher </w:t>
      </w:r>
      <w:r w:rsidRPr="007108CA">
        <w:rPr>
          <w:rFonts w:cs="Arial"/>
        </w:rPr>
        <w:t>than the England</w:t>
      </w:r>
      <w:r>
        <w:rPr>
          <w:rFonts w:cs="Arial"/>
        </w:rPr>
        <w:t xml:space="preserve"> (41.7%), and West Yorkshire (42.0</w:t>
      </w:r>
      <w:r w:rsidRPr="007108CA">
        <w:rPr>
          <w:rFonts w:cs="Arial"/>
        </w:rPr>
        <w:t>%) rates.</w:t>
      </w:r>
      <w:r>
        <w:rPr>
          <w:rFonts w:cs="Arial"/>
        </w:rPr>
        <w:t xml:space="preserve">  </w:t>
      </w:r>
    </w:p>
    <w:p w:rsidR="009C5063" w:rsidRPr="009C5063" w:rsidRDefault="009C5063" w:rsidP="000E22C9">
      <w:pPr>
        <w:keepNext/>
        <w:keepLines/>
        <w:spacing w:after="120"/>
        <w:rPr>
          <w:rFonts w:cs="Arial"/>
          <w:b/>
          <w:szCs w:val="24"/>
        </w:rPr>
      </w:pPr>
      <w:r w:rsidRPr="009C5063">
        <w:rPr>
          <w:rFonts w:cs="Arial"/>
          <w:b/>
          <w:szCs w:val="24"/>
        </w:rPr>
        <w:lastRenderedPageBreak/>
        <w:t>Business Births and Deaths in Bradford 2007 - 2014</w:t>
      </w:r>
    </w:p>
    <w:p w:rsidR="009169EA" w:rsidRDefault="009C5063" w:rsidP="000E22C9">
      <w:pPr>
        <w:keepNext/>
        <w:keepLines/>
      </w:pPr>
      <w:r w:rsidRPr="009C5063">
        <w:rPr>
          <w:noProof/>
          <w:lang w:eastAsia="en-GB"/>
        </w:rPr>
        <w:drawing>
          <wp:inline distT="0" distB="0" distL="0" distR="0" wp14:anchorId="4FB6AB53" wp14:editId="2DD7670B">
            <wp:extent cx="5943600" cy="3611245"/>
            <wp:effectExtent l="19050" t="19050" r="19050" b="273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611245"/>
                    </a:xfrm>
                    <a:prstGeom prst="rect">
                      <a:avLst/>
                    </a:prstGeom>
                    <a:ln>
                      <a:solidFill>
                        <a:schemeClr val="tx1"/>
                      </a:solidFill>
                    </a:ln>
                  </pic:spPr>
                </pic:pic>
              </a:graphicData>
            </a:graphic>
          </wp:inline>
        </w:drawing>
      </w:r>
    </w:p>
    <w:p w:rsidR="0020361C" w:rsidRDefault="0020361C" w:rsidP="00E016D0">
      <w:pPr>
        <w:ind w:right="-1"/>
      </w:pPr>
    </w:p>
    <w:p w:rsidR="009169EA" w:rsidRPr="009169EA" w:rsidRDefault="009169EA" w:rsidP="00E016D0">
      <w:pPr>
        <w:pStyle w:val="Heading1"/>
        <w:ind w:right="-1"/>
      </w:pPr>
      <w:r w:rsidRPr="009169EA">
        <w:t xml:space="preserve">Employee Jobs </w:t>
      </w:r>
    </w:p>
    <w:p w:rsidR="009169EA" w:rsidRPr="008F1636" w:rsidRDefault="009169EA" w:rsidP="00500D60">
      <w:pPr>
        <w:spacing w:after="120"/>
        <w:rPr>
          <w:rFonts w:cs="Arial"/>
        </w:rPr>
      </w:pPr>
      <w:r w:rsidRPr="008F1636">
        <w:rPr>
          <w:rFonts w:cs="Arial"/>
        </w:rPr>
        <w:t>The number of emplo</w:t>
      </w:r>
      <w:r w:rsidR="00B030A1">
        <w:rPr>
          <w:rFonts w:cs="Arial"/>
        </w:rPr>
        <w:t>yee jobs in Bradford was 1</w:t>
      </w:r>
      <w:r w:rsidR="00B548E7">
        <w:rPr>
          <w:rFonts w:cs="Arial"/>
        </w:rPr>
        <w:t>93,200</w:t>
      </w:r>
      <w:r w:rsidR="00B030A1">
        <w:rPr>
          <w:rFonts w:cs="Arial"/>
        </w:rPr>
        <w:t xml:space="preserve">  in September 2015</w:t>
      </w:r>
      <w:r w:rsidR="00B548E7">
        <w:rPr>
          <w:rFonts w:cs="Arial"/>
        </w:rPr>
        <w:t xml:space="preserve">, an increase of 4,000 </w:t>
      </w:r>
      <w:r w:rsidRPr="008F1636">
        <w:rPr>
          <w:rFonts w:cs="Arial"/>
        </w:rPr>
        <w:t xml:space="preserve"> employee j</w:t>
      </w:r>
      <w:r w:rsidR="00B548E7">
        <w:rPr>
          <w:rFonts w:cs="Arial"/>
        </w:rPr>
        <w:t>obs over the year equating to a 2.</w:t>
      </w:r>
      <w:r w:rsidRPr="008F1636">
        <w:rPr>
          <w:rFonts w:cs="Arial"/>
        </w:rPr>
        <w:t xml:space="preserve">1% increase. All of the ten districts in Leeds City Region (LCR) experienced growth in employee job numbers giving </w:t>
      </w:r>
      <w:r w:rsidR="00B548E7">
        <w:rPr>
          <w:rFonts w:cs="Arial"/>
        </w:rPr>
        <w:t>rise to an overall increase of 2.5</w:t>
      </w:r>
      <w:r w:rsidRPr="008F1636">
        <w:rPr>
          <w:rFonts w:cs="Arial"/>
        </w:rPr>
        <w:t>%.</w:t>
      </w:r>
      <w:r w:rsidR="00B548E7">
        <w:rPr>
          <w:rFonts w:cs="Arial"/>
        </w:rPr>
        <w:t xml:space="preserve"> Overall employee jobs grew by 2.1</w:t>
      </w:r>
      <w:r w:rsidRPr="008F1636">
        <w:rPr>
          <w:rFonts w:cs="Arial"/>
        </w:rPr>
        <w:t>% in Great Britain.</w:t>
      </w:r>
    </w:p>
    <w:p w:rsidR="009C5063" w:rsidRDefault="009C5063" w:rsidP="00E016D0">
      <w:pPr>
        <w:spacing w:after="120"/>
        <w:ind w:right="-1"/>
        <w:rPr>
          <w:b/>
          <w:szCs w:val="24"/>
        </w:rPr>
      </w:pPr>
      <w:r w:rsidRPr="009C5063">
        <w:rPr>
          <w:b/>
          <w:szCs w:val="24"/>
        </w:rPr>
        <w:t>Number of empl</w:t>
      </w:r>
      <w:r w:rsidR="00B548E7">
        <w:rPr>
          <w:b/>
          <w:szCs w:val="24"/>
        </w:rPr>
        <w:t>oyee jobs 2014 and 2015</w:t>
      </w:r>
    </w:p>
    <w:tbl>
      <w:tblPr>
        <w:tblStyle w:val="TableGrid"/>
        <w:tblW w:w="0" w:type="auto"/>
        <w:tblInd w:w="250" w:type="dxa"/>
        <w:tblLook w:val="04A0" w:firstRow="1" w:lastRow="0" w:firstColumn="1" w:lastColumn="0" w:noHBand="0" w:noVBand="1"/>
      </w:tblPr>
      <w:tblGrid>
        <w:gridCol w:w="2518"/>
        <w:gridCol w:w="1559"/>
        <w:gridCol w:w="1560"/>
        <w:gridCol w:w="1417"/>
        <w:gridCol w:w="1418"/>
      </w:tblGrid>
      <w:tr w:rsidR="009C5063" w:rsidTr="00BC1FFB">
        <w:trPr>
          <w:trHeight w:val="170"/>
        </w:trPr>
        <w:tc>
          <w:tcPr>
            <w:tcW w:w="2518" w:type="dxa"/>
            <w:shd w:val="clear" w:color="auto" w:fill="4F81BD" w:themeFill="accent1"/>
            <w:vAlign w:val="center"/>
          </w:tcPr>
          <w:p w:rsidR="009C5063" w:rsidRPr="00905314" w:rsidRDefault="009C5063" w:rsidP="00E016D0">
            <w:pPr>
              <w:ind w:right="-1"/>
              <w:jc w:val="center"/>
              <w:rPr>
                <w:b/>
                <w:color w:val="FFFFFF" w:themeColor="background1"/>
                <w:szCs w:val="24"/>
              </w:rPr>
            </w:pPr>
          </w:p>
        </w:tc>
        <w:tc>
          <w:tcPr>
            <w:tcW w:w="1559" w:type="dxa"/>
            <w:shd w:val="clear" w:color="auto" w:fill="4F81BD" w:themeFill="accent1"/>
            <w:vAlign w:val="center"/>
          </w:tcPr>
          <w:p w:rsidR="009C5063" w:rsidRPr="00905314" w:rsidRDefault="009C5063" w:rsidP="00E016D0">
            <w:pPr>
              <w:ind w:right="-1"/>
              <w:jc w:val="center"/>
              <w:rPr>
                <w:b/>
                <w:color w:val="FFFFFF" w:themeColor="background1"/>
                <w:szCs w:val="24"/>
              </w:rPr>
            </w:pPr>
          </w:p>
        </w:tc>
        <w:tc>
          <w:tcPr>
            <w:tcW w:w="1560" w:type="dxa"/>
            <w:shd w:val="clear" w:color="auto" w:fill="4F81BD" w:themeFill="accent1"/>
            <w:vAlign w:val="center"/>
          </w:tcPr>
          <w:p w:rsidR="009C5063" w:rsidRPr="00905314" w:rsidRDefault="009C5063" w:rsidP="00E016D0">
            <w:pPr>
              <w:ind w:right="-1"/>
              <w:jc w:val="center"/>
              <w:rPr>
                <w:b/>
                <w:color w:val="FFFFFF" w:themeColor="background1"/>
                <w:szCs w:val="24"/>
              </w:rPr>
            </w:pPr>
          </w:p>
        </w:tc>
        <w:tc>
          <w:tcPr>
            <w:tcW w:w="2835" w:type="dxa"/>
            <w:gridSpan w:val="2"/>
            <w:shd w:val="clear" w:color="auto" w:fill="4F81BD" w:themeFill="accent1"/>
            <w:vAlign w:val="center"/>
          </w:tcPr>
          <w:p w:rsidR="009C5063" w:rsidRPr="00905314" w:rsidRDefault="00B030A1" w:rsidP="00E016D0">
            <w:pPr>
              <w:ind w:right="-1"/>
              <w:jc w:val="center"/>
              <w:rPr>
                <w:b/>
                <w:color w:val="FFFFFF" w:themeColor="background1"/>
                <w:szCs w:val="24"/>
              </w:rPr>
            </w:pPr>
            <w:r>
              <w:rPr>
                <w:b/>
                <w:color w:val="FFFFFF" w:themeColor="background1"/>
                <w:szCs w:val="24"/>
              </w:rPr>
              <w:t>Change 2014 to 2015</w:t>
            </w:r>
          </w:p>
        </w:tc>
      </w:tr>
      <w:tr w:rsidR="009C5063" w:rsidTr="00BC1FFB">
        <w:trPr>
          <w:trHeight w:val="170"/>
        </w:trPr>
        <w:tc>
          <w:tcPr>
            <w:tcW w:w="2518" w:type="dxa"/>
            <w:shd w:val="clear" w:color="auto" w:fill="4F81BD" w:themeFill="accent1"/>
            <w:vAlign w:val="center"/>
          </w:tcPr>
          <w:p w:rsidR="009C5063" w:rsidRPr="00905314" w:rsidRDefault="009C5063" w:rsidP="00E016D0">
            <w:pPr>
              <w:ind w:right="-1"/>
              <w:jc w:val="center"/>
              <w:rPr>
                <w:b/>
                <w:color w:val="FFFFFF" w:themeColor="background1"/>
                <w:szCs w:val="24"/>
              </w:rPr>
            </w:pPr>
            <w:r w:rsidRPr="00905314">
              <w:rPr>
                <w:b/>
                <w:color w:val="FFFFFF" w:themeColor="background1"/>
                <w:szCs w:val="24"/>
              </w:rPr>
              <w:t>Area</w:t>
            </w:r>
          </w:p>
        </w:tc>
        <w:tc>
          <w:tcPr>
            <w:tcW w:w="1559" w:type="dxa"/>
            <w:shd w:val="clear" w:color="auto" w:fill="4F81BD" w:themeFill="accent1"/>
            <w:vAlign w:val="center"/>
          </w:tcPr>
          <w:p w:rsidR="009C5063" w:rsidRPr="00905314" w:rsidRDefault="00B030A1" w:rsidP="00E016D0">
            <w:pPr>
              <w:ind w:right="-1"/>
              <w:jc w:val="center"/>
              <w:rPr>
                <w:b/>
                <w:color w:val="FFFFFF" w:themeColor="background1"/>
                <w:szCs w:val="24"/>
              </w:rPr>
            </w:pPr>
            <w:r>
              <w:rPr>
                <w:b/>
                <w:color w:val="FFFFFF" w:themeColor="background1"/>
                <w:szCs w:val="24"/>
              </w:rPr>
              <w:t>2014</w:t>
            </w:r>
          </w:p>
        </w:tc>
        <w:tc>
          <w:tcPr>
            <w:tcW w:w="1560" w:type="dxa"/>
            <w:shd w:val="clear" w:color="auto" w:fill="4F81BD" w:themeFill="accent1"/>
            <w:vAlign w:val="center"/>
          </w:tcPr>
          <w:p w:rsidR="009C5063" w:rsidRPr="00905314" w:rsidRDefault="00B030A1" w:rsidP="00E016D0">
            <w:pPr>
              <w:ind w:right="-1"/>
              <w:jc w:val="center"/>
              <w:rPr>
                <w:b/>
                <w:color w:val="FFFFFF" w:themeColor="background1"/>
                <w:szCs w:val="24"/>
              </w:rPr>
            </w:pPr>
            <w:r>
              <w:rPr>
                <w:b/>
                <w:color w:val="FFFFFF" w:themeColor="background1"/>
                <w:szCs w:val="24"/>
              </w:rPr>
              <w:t>2015</w:t>
            </w:r>
          </w:p>
        </w:tc>
        <w:tc>
          <w:tcPr>
            <w:tcW w:w="1417" w:type="dxa"/>
            <w:shd w:val="clear" w:color="auto" w:fill="4F81BD" w:themeFill="accent1"/>
            <w:vAlign w:val="center"/>
          </w:tcPr>
          <w:p w:rsidR="009C5063" w:rsidRPr="00905314" w:rsidRDefault="009C5063" w:rsidP="00E016D0">
            <w:pPr>
              <w:ind w:right="-1"/>
              <w:jc w:val="center"/>
              <w:rPr>
                <w:b/>
                <w:color w:val="FFFFFF" w:themeColor="background1"/>
                <w:szCs w:val="24"/>
              </w:rPr>
            </w:pPr>
            <w:r w:rsidRPr="00905314">
              <w:rPr>
                <w:b/>
                <w:color w:val="FFFFFF" w:themeColor="background1"/>
                <w:szCs w:val="24"/>
              </w:rPr>
              <w:t>Number</w:t>
            </w:r>
          </w:p>
        </w:tc>
        <w:tc>
          <w:tcPr>
            <w:tcW w:w="1418" w:type="dxa"/>
            <w:shd w:val="clear" w:color="auto" w:fill="4F81BD" w:themeFill="accent1"/>
            <w:vAlign w:val="center"/>
          </w:tcPr>
          <w:p w:rsidR="009C5063" w:rsidRPr="00905314" w:rsidRDefault="009C5063" w:rsidP="00E016D0">
            <w:pPr>
              <w:ind w:right="-1"/>
              <w:jc w:val="center"/>
              <w:rPr>
                <w:b/>
                <w:color w:val="FFFFFF" w:themeColor="background1"/>
                <w:szCs w:val="24"/>
              </w:rPr>
            </w:pPr>
            <w:r w:rsidRPr="00905314">
              <w:rPr>
                <w:b/>
                <w:color w:val="FFFFFF" w:themeColor="background1"/>
                <w:szCs w:val="24"/>
              </w:rPr>
              <w:t>%</w:t>
            </w:r>
          </w:p>
        </w:tc>
      </w:tr>
      <w:tr w:rsidR="00B030A1" w:rsidTr="00BC1FFB">
        <w:trPr>
          <w:trHeight w:val="170"/>
        </w:trPr>
        <w:tc>
          <w:tcPr>
            <w:tcW w:w="2518" w:type="dxa"/>
            <w:vAlign w:val="bottom"/>
          </w:tcPr>
          <w:p w:rsidR="00B030A1" w:rsidRPr="00905314" w:rsidRDefault="00B030A1" w:rsidP="00E016D0">
            <w:pPr>
              <w:ind w:right="-1"/>
              <w:rPr>
                <w:szCs w:val="24"/>
              </w:rPr>
            </w:pPr>
            <w:r w:rsidRPr="00905314">
              <w:rPr>
                <w:szCs w:val="24"/>
              </w:rPr>
              <w:t>Bradford</w:t>
            </w:r>
          </w:p>
        </w:tc>
        <w:tc>
          <w:tcPr>
            <w:tcW w:w="1559" w:type="dxa"/>
            <w:vAlign w:val="bottom"/>
          </w:tcPr>
          <w:p w:rsidR="00B030A1" w:rsidRPr="00905314" w:rsidRDefault="00B030A1" w:rsidP="00215E3F">
            <w:pPr>
              <w:ind w:right="-1"/>
              <w:jc w:val="right"/>
              <w:rPr>
                <w:szCs w:val="24"/>
              </w:rPr>
            </w:pPr>
            <w:r w:rsidRPr="00905314">
              <w:rPr>
                <w:szCs w:val="24"/>
              </w:rPr>
              <w:t>189,200</w:t>
            </w:r>
          </w:p>
        </w:tc>
        <w:tc>
          <w:tcPr>
            <w:tcW w:w="1560" w:type="dxa"/>
            <w:vAlign w:val="bottom"/>
          </w:tcPr>
          <w:p w:rsidR="00B030A1" w:rsidRPr="00905314" w:rsidRDefault="00B030A1" w:rsidP="00E016D0">
            <w:pPr>
              <w:ind w:right="-1"/>
              <w:jc w:val="right"/>
              <w:rPr>
                <w:szCs w:val="24"/>
              </w:rPr>
            </w:pPr>
            <w:r>
              <w:rPr>
                <w:szCs w:val="24"/>
              </w:rPr>
              <w:t>1</w:t>
            </w:r>
            <w:r w:rsidR="00176FF3">
              <w:rPr>
                <w:szCs w:val="24"/>
              </w:rPr>
              <w:t>93,</w:t>
            </w:r>
            <w:r w:rsidR="00B548E7">
              <w:rPr>
                <w:szCs w:val="24"/>
              </w:rPr>
              <w:t>200</w:t>
            </w:r>
          </w:p>
        </w:tc>
        <w:tc>
          <w:tcPr>
            <w:tcW w:w="1417" w:type="dxa"/>
            <w:vAlign w:val="bottom"/>
          </w:tcPr>
          <w:p w:rsidR="00B030A1" w:rsidRPr="00905314" w:rsidRDefault="00176FF3" w:rsidP="00E016D0">
            <w:pPr>
              <w:ind w:right="-1"/>
              <w:jc w:val="right"/>
              <w:rPr>
                <w:szCs w:val="24"/>
              </w:rPr>
            </w:pPr>
            <w:r>
              <w:rPr>
                <w:szCs w:val="24"/>
              </w:rPr>
              <w:t>4,000</w:t>
            </w:r>
          </w:p>
        </w:tc>
        <w:tc>
          <w:tcPr>
            <w:tcW w:w="1418" w:type="dxa"/>
            <w:vAlign w:val="bottom"/>
          </w:tcPr>
          <w:p w:rsidR="00B030A1" w:rsidRPr="00905314" w:rsidRDefault="00176FF3" w:rsidP="00E016D0">
            <w:pPr>
              <w:ind w:right="-1"/>
              <w:jc w:val="right"/>
              <w:rPr>
                <w:szCs w:val="24"/>
              </w:rPr>
            </w:pPr>
            <w:r>
              <w:rPr>
                <w:szCs w:val="24"/>
              </w:rPr>
              <w:t>2.1</w:t>
            </w:r>
            <w:r w:rsidR="00B030A1" w:rsidRPr="00905314">
              <w:rPr>
                <w:szCs w:val="24"/>
              </w:rPr>
              <w:t>%</w:t>
            </w:r>
          </w:p>
        </w:tc>
      </w:tr>
      <w:tr w:rsidR="00B030A1" w:rsidTr="00BC1FFB">
        <w:trPr>
          <w:trHeight w:val="170"/>
        </w:trPr>
        <w:tc>
          <w:tcPr>
            <w:tcW w:w="2518" w:type="dxa"/>
            <w:vAlign w:val="bottom"/>
          </w:tcPr>
          <w:p w:rsidR="00B030A1" w:rsidRPr="00905314" w:rsidRDefault="00B030A1" w:rsidP="00E016D0">
            <w:pPr>
              <w:ind w:right="-1"/>
              <w:rPr>
                <w:szCs w:val="24"/>
              </w:rPr>
            </w:pPr>
            <w:r w:rsidRPr="00905314">
              <w:rPr>
                <w:szCs w:val="24"/>
              </w:rPr>
              <w:t>Leeds City Region</w:t>
            </w:r>
          </w:p>
        </w:tc>
        <w:tc>
          <w:tcPr>
            <w:tcW w:w="1559" w:type="dxa"/>
            <w:vAlign w:val="bottom"/>
          </w:tcPr>
          <w:p w:rsidR="00B030A1" w:rsidRPr="00905314" w:rsidRDefault="00B030A1" w:rsidP="00215E3F">
            <w:pPr>
              <w:ind w:right="-1"/>
              <w:jc w:val="right"/>
              <w:rPr>
                <w:szCs w:val="24"/>
              </w:rPr>
            </w:pPr>
            <w:r w:rsidRPr="00905314">
              <w:rPr>
                <w:szCs w:val="24"/>
              </w:rPr>
              <w:t>1,303,600</w:t>
            </w:r>
          </w:p>
        </w:tc>
        <w:tc>
          <w:tcPr>
            <w:tcW w:w="1560" w:type="dxa"/>
            <w:vAlign w:val="bottom"/>
          </w:tcPr>
          <w:p w:rsidR="00B030A1" w:rsidRPr="00905314" w:rsidRDefault="00B030A1" w:rsidP="00E016D0">
            <w:pPr>
              <w:ind w:right="-1"/>
              <w:jc w:val="right"/>
              <w:rPr>
                <w:szCs w:val="24"/>
              </w:rPr>
            </w:pPr>
            <w:r>
              <w:rPr>
                <w:szCs w:val="24"/>
              </w:rPr>
              <w:t>1,3</w:t>
            </w:r>
            <w:r w:rsidR="00176FF3">
              <w:rPr>
                <w:szCs w:val="24"/>
              </w:rPr>
              <w:t>37,400</w:t>
            </w:r>
          </w:p>
        </w:tc>
        <w:tc>
          <w:tcPr>
            <w:tcW w:w="1417" w:type="dxa"/>
            <w:vAlign w:val="bottom"/>
          </w:tcPr>
          <w:p w:rsidR="00B030A1" w:rsidRPr="00905314" w:rsidRDefault="00176FF3" w:rsidP="00B030A1">
            <w:pPr>
              <w:ind w:right="-1"/>
              <w:jc w:val="center"/>
              <w:rPr>
                <w:szCs w:val="24"/>
              </w:rPr>
            </w:pPr>
            <w:r>
              <w:rPr>
                <w:szCs w:val="24"/>
              </w:rPr>
              <w:t xml:space="preserve">     33,800</w:t>
            </w:r>
          </w:p>
        </w:tc>
        <w:tc>
          <w:tcPr>
            <w:tcW w:w="1418" w:type="dxa"/>
            <w:vAlign w:val="bottom"/>
          </w:tcPr>
          <w:p w:rsidR="00B030A1" w:rsidRPr="00905314" w:rsidRDefault="00176FF3" w:rsidP="00E016D0">
            <w:pPr>
              <w:ind w:right="-1"/>
              <w:jc w:val="right"/>
              <w:rPr>
                <w:szCs w:val="24"/>
              </w:rPr>
            </w:pPr>
            <w:r>
              <w:rPr>
                <w:szCs w:val="24"/>
              </w:rPr>
              <w:t>2.5</w:t>
            </w:r>
            <w:r w:rsidR="00B030A1" w:rsidRPr="00905314">
              <w:rPr>
                <w:szCs w:val="24"/>
              </w:rPr>
              <w:t>%</w:t>
            </w:r>
          </w:p>
        </w:tc>
      </w:tr>
      <w:tr w:rsidR="00B030A1" w:rsidTr="00BC1FFB">
        <w:trPr>
          <w:trHeight w:val="170"/>
        </w:trPr>
        <w:tc>
          <w:tcPr>
            <w:tcW w:w="2518" w:type="dxa"/>
            <w:vAlign w:val="bottom"/>
          </w:tcPr>
          <w:p w:rsidR="00B030A1" w:rsidRPr="00905314" w:rsidRDefault="00B030A1" w:rsidP="00E016D0">
            <w:pPr>
              <w:ind w:right="-1"/>
              <w:rPr>
                <w:szCs w:val="24"/>
              </w:rPr>
            </w:pPr>
            <w:r w:rsidRPr="00905314">
              <w:rPr>
                <w:szCs w:val="24"/>
              </w:rPr>
              <w:t>Yorkshire &amp; Humber</w:t>
            </w:r>
          </w:p>
        </w:tc>
        <w:tc>
          <w:tcPr>
            <w:tcW w:w="1559" w:type="dxa"/>
            <w:vAlign w:val="bottom"/>
          </w:tcPr>
          <w:p w:rsidR="00B030A1" w:rsidRPr="00905314" w:rsidRDefault="00B030A1" w:rsidP="00215E3F">
            <w:pPr>
              <w:ind w:right="-1"/>
              <w:jc w:val="right"/>
              <w:rPr>
                <w:szCs w:val="24"/>
              </w:rPr>
            </w:pPr>
            <w:r w:rsidRPr="00905314">
              <w:rPr>
                <w:szCs w:val="24"/>
              </w:rPr>
              <w:t>2,260,500</w:t>
            </w:r>
          </w:p>
        </w:tc>
        <w:tc>
          <w:tcPr>
            <w:tcW w:w="1560" w:type="dxa"/>
            <w:vAlign w:val="bottom"/>
          </w:tcPr>
          <w:p w:rsidR="00B030A1" w:rsidRPr="00905314" w:rsidRDefault="00176FF3" w:rsidP="00E016D0">
            <w:pPr>
              <w:ind w:right="-1"/>
              <w:jc w:val="right"/>
              <w:rPr>
                <w:szCs w:val="24"/>
              </w:rPr>
            </w:pPr>
            <w:r>
              <w:rPr>
                <w:szCs w:val="24"/>
              </w:rPr>
              <w:t>2,310,179</w:t>
            </w:r>
          </w:p>
        </w:tc>
        <w:tc>
          <w:tcPr>
            <w:tcW w:w="1417" w:type="dxa"/>
            <w:vAlign w:val="bottom"/>
          </w:tcPr>
          <w:p w:rsidR="00B030A1" w:rsidRPr="00905314" w:rsidRDefault="00176FF3" w:rsidP="00E016D0">
            <w:pPr>
              <w:ind w:right="-1"/>
              <w:jc w:val="right"/>
              <w:rPr>
                <w:szCs w:val="24"/>
              </w:rPr>
            </w:pPr>
            <w:r>
              <w:rPr>
                <w:szCs w:val="24"/>
              </w:rPr>
              <w:t>49,679</w:t>
            </w:r>
          </w:p>
        </w:tc>
        <w:tc>
          <w:tcPr>
            <w:tcW w:w="1418" w:type="dxa"/>
            <w:vAlign w:val="bottom"/>
          </w:tcPr>
          <w:p w:rsidR="00B030A1" w:rsidRPr="00905314" w:rsidRDefault="00176FF3" w:rsidP="00E016D0">
            <w:pPr>
              <w:ind w:right="-1"/>
              <w:jc w:val="right"/>
              <w:rPr>
                <w:szCs w:val="24"/>
              </w:rPr>
            </w:pPr>
            <w:r>
              <w:rPr>
                <w:szCs w:val="24"/>
              </w:rPr>
              <w:t>2.2</w:t>
            </w:r>
            <w:r w:rsidR="00B030A1" w:rsidRPr="00905314">
              <w:rPr>
                <w:szCs w:val="24"/>
              </w:rPr>
              <w:t>%</w:t>
            </w:r>
          </w:p>
        </w:tc>
      </w:tr>
      <w:tr w:rsidR="00B030A1" w:rsidTr="00BC1FFB">
        <w:trPr>
          <w:trHeight w:val="170"/>
        </w:trPr>
        <w:tc>
          <w:tcPr>
            <w:tcW w:w="2518" w:type="dxa"/>
            <w:vAlign w:val="bottom"/>
          </w:tcPr>
          <w:p w:rsidR="00B030A1" w:rsidRPr="00905314" w:rsidRDefault="00B030A1" w:rsidP="00E016D0">
            <w:pPr>
              <w:ind w:right="-1"/>
              <w:rPr>
                <w:szCs w:val="24"/>
              </w:rPr>
            </w:pPr>
            <w:r w:rsidRPr="00905314">
              <w:rPr>
                <w:szCs w:val="24"/>
              </w:rPr>
              <w:t>Great Britain</w:t>
            </w:r>
          </w:p>
        </w:tc>
        <w:tc>
          <w:tcPr>
            <w:tcW w:w="1559" w:type="dxa"/>
            <w:vAlign w:val="bottom"/>
          </w:tcPr>
          <w:p w:rsidR="00B030A1" w:rsidRPr="00905314" w:rsidRDefault="00B030A1" w:rsidP="00215E3F">
            <w:pPr>
              <w:ind w:right="-1"/>
              <w:jc w:val="right"/>
              <w:rPr>
                <w:szCs w:val="24"/>
              </w:rPr>
            </w:pPr>
            <w:r w:rsidRPr="00905314">
              <w:rPr>
                <w:szCs w:val="24"/>
              </w:rPr>
              <w:t>27,950,900</w:t>
            </w:r>
          </w:p>
        </w:tc>
        <w:tc>
          <w:tcPr>
            <w:tcW w:w="1560" w:type="dxa"/>
            <w:vAlign w:val="bottom"/>
          </w:tcPr>
          <w:p w:rsidR="00B030A1" w:rsidRPr="00905314" w:rsidRDefault="00176FF3" w:rsidP="00E016D0">
            <w:pPr>
              <w:ind w:right="-1"/>
              <w:jc w:val="right"/>
              <w:rPr>
                <w:szCs w:val="24"/>
              </w:rPr>
            </w:pPr>
            <w:r>
              <w:rPr>
                <w:szCs w:val="24"/>
              </w:rPr>
              <w:t>28,526,436</w:t>
            </w:r>
          </w:p>
        </w:tc>
        <w:tc>
          <w:tcPr>
            <w:tcW w:w="1417" w:type="dxa"/>
            <w:vAlign w:val="bottom"/>
          </w:tcPr>
          <w:p w:rsidR="00B030A1" w:rsidRPr="00905314" w:rsidRDefault="00176FF3" w:rsidP="00E016D0">
            <w:pPr>
              <w:ind w:right="-1"/>
              <w:jc w:val="right"/>
              <w:rPr>
                <w:szCs w:val="24"/>
              </w:rPr>
            </w:pPr>
            <w:r>
              <w:rPr>
                <w:szCs w:val="24"/>
              </w:rPr>
              <w:t>575,536</w:t>
            </w:r>
          </w:p>
        </w:tc>
        <w:tc>
          <w:tcPr>
            <w:tcW w:w="1418" w:type="dxa"/>
            <w:vAlign w:val="bottom"/>
          </w:tcPr>
          <w:p w:rsidR="00B030A1" w:rsidRPr="00905314" w:rsidRDefault="00176FF3" w:rsidP="00E016D0">
            <w:pPr>
              <w:ind w:right="-1"/>
              <w:jc w:val="right"/>
              <w:rPr>
                <w:szCs w:val="24"/>
              </w:rPr>
            </w:pPr>
            <w:r>
              <w:rPr>
                <w:szCs w:val="24"/>
              </w:rPr>
              <w:t>2.1</w:t>
            </w:r>
            <w:r w:rsidR="00B030A1" w:rsidRPr="00905314">
              <w:rPr>
                <w:szCs w:val="24"/>
              </w:rPr>
              <w:t>%</w:t>
            </w:r>
          </w:p>
        </w:tc>
      </w:tr>
    </w:tbl>
    <w:p w:rsidR="00F22D5C" w:rsidRPr="00500D60" w:rsidRDefault="00B548E7" w:rsidP="00BC1FFB">
      <w:pPr>
        <w:spacing w:after="120"/>
        <w:rPr>
          <w:i/>
          <w:sz w:val="22"/>
        </w:rPr>
      </w:pPr>
      <w:r>
        <w:rPr>
          <w:i/>
          <w:sz w:val="22"/>
        </w:rPr>
        <w:t xml:space="preserve"> </w:t>
      </w:r>
      <w:r w:rsidR="009C5063" w:rsidRPr="009C5063">
        <w:rPr>
          <w:i/>
          <w:sz w:val="22"/>
        </w:rPr>
        <w:t>Source: Business Register &amp; Employment Surve</w:t>
      </w:r>
      <w:r w:rsidR="00F22D5C">
        <w:rPr>
          <w:i/>
          <w:sz w:val="22"/>
        </w:rPr>
        <w:t xml:space="preserve">y 2014/5 </w:t>
      </w:r>
    </w:p>
    <w:p w:rsidR="009169EA" w:rsidRPr="00080560" w:rsidRDefault="009169EA" w:rsidP="00500D60">
      <w:pPr>
        <w:spacing w:after="120"/>
        <w:rPr>
          <w:rFonts w:cs="Arial"/>
        </w:rPr>
      </w:pPr>
      <w:r w:rsidRPr="00080560">
        <w:rPr>
          <w:rFonts w:cs="Arial"/>
        </w:rPr>
        <w:t xml:space="preserve">The growth in employee </w:t>
      </w:r>
      <w:r w:rsidR="00905314">
        <w:rPr>
          <w:rFonts w:cs="Arial"/>
        </w:rPr>
        <w:t>jobs in the district was due to</w:t>
      </w:r>
      <w:r w:rsidR="00A83D4F">
        <w:rPr>
          <w:rFonts w:cs="Arial"/>
        </w:rPr>
        <w:t xml:space="preserve"> increases in</w:t>
      </w:r>
      <w:r w:rsidR="00905314">
        <w:rPr>
          <w:rFonts w:cs="Arial"/>
        </w:rPr>
        <w:t xml:space="preserve"> manufact</w:t>
      </w:r>
      <w:r w:rsidR="00A83D4F">
        <w:rPr>
          <w:rFonts w:cs="Arial"/>
        </w:rPr>
        <w:t xml:space="preserve">uring (+600), construction (+1,000), </w:t>
      </w:r>
      <w:r w:rsidR="00BB163C">
        <w:rPr>
          <w:rFonts w:cs="Arial"/>
        </w:rPr>
        <w:t xml:space="preserve">transport and storage (+1,200) ,finance and insurance (+1,300), business admin (+2,700 ) education (+1,000) , over the same period employee jobs which had decreases were retail( -700) , information and </w:t>
      </w:r>
      <w:proofErr w:type="spellStart"/>
      <w:r w:rsidR="00BB163C">
        <w:rPr>
          <w:rFonts w:cs="Arial"/>
        </w:rPr>
        <w:t>comms</w:t>
      </w:r>
      <w:proofErr w:type="spellEnd"/>
      <w:r w:rsidR="00BB163C">
        <w:rPr>
          <w:rFonts w:cs="Arial"/>
        </w:rPr>
        <w:t xml:space="preserve"> ( -800) and public admin (-500) </w:t>
      </w:r>
    </w:p>
    <w:p w:rsidR="009169EA" w:rsidRPr="00080560" w:rsidRDefault="009169EA" w:rsidP="00500D60">
      <w:pPr>
        <w:spacing w:after="120"/>
        <w:rPr>
          <w:rFonts w:cs="Arial"/>
        </w:rPr>
      </w:pPr>
      <w:r w:rsidRPr="00080560">
        <w:rPr>
          <w:rFonts w:cs="Arial"/>
        </w:rPr>
        <w:t xml:space="preserve">Private sector job growth was </w:t>
      </w:r>
      <w:r>
        <w:rPr>
          <w:rFonts w:cs="Arial"/>
        </w:rPr>
        <w:t>relatively strong</w:t>
      </w:r>
      <w:r w:rsidR="00905314">
        <w:rPr>
          <w:rFonts w:cs="Arial"/>
        </w:rPr>
        <w:t>,</w:t>
      </w:r>
      <w:r w:rsidR="00162A83">
        <w:rPr>
          <w:rFonts w:cs="Arial"/>
        </w:rPr>
        <w:t xml:space="preserve"> growing by 2.9% or 4,181</w:t>
      </w:r>
      <w:r w:rsidRPr="00080560">
        <w:rPr>
          <w:rFonts w:cs="Arial"/>
        </w:rPr>
        <w:t xml:space="preserve"> jobs</w:t>
      </w:r>
      <w:r w:rsidR="00162A83">
        <w:rPr>
          <w:rFonts w:cs="Arial"/>
        </w:rPr>
        <w:t xml:space="preserve"> over the year to September 2015.</w:t>
      </w:r>
      <w:r w:rsidRPr="00080560">
        <w:rPr>
          <w:rFonts w:cs="Arial"/>
        </w:rPr>
        <w:t>. However, public sector employment fell in Bradford ove</w:t>
      </w:r>
      <w:r w:rsidR="00905314">
        <w:rPr>
          <w:rFonts w:cs="Arial"/>
        </w:rPr>
        <w:t xml:space="preserve">r the same period, </w:t>
      </w:r>
      <w:r w:rsidR="00162A83">
        <w:rPr>
          <w:rFonts w:cs="Arial"/>
        </w:rPr>
        <w:t>down by 282 (-0.6</w:t>
      </w:r>
      <w:r w:rsidRPr="00080560">
        <w:rPr>
          <w:rFonts w:cs="Arial"/>
        </w:rPr>
        <w:t xml:space="preserve">%). </w:t>
      </w:r>
    </w:p>
    <w:p w:rsidR="009169EA" w:rsidRPr="008F1636" w:rsidRDefault="009169EA" w:rsidP="00500D60">
      <w:pPr>
        <w:spacing w:after="120"/>
        <w:rPr>
          <w:rFonts w:cs="Arial"/>
        </w:rPr>
      </w:pPr>
      <w:r w:rsidRPr="008F1636">
        <w:rPr>
          <w:rFonts w:cs="Arial"/>
        </w:rPr>
        <w:t>Bradford had the lowest employee jobs growth of any local author</w:t>
      </w:r>
      <w:r w:rsidR="00162A83">
        <w:rPr>
          <w:rFonts w:cs="Arial"/>
        </w:rPr>
        <w:t>ity district in the Leeds City Region .</w:t>
      </w:r>
    </w:p>
    <w:p w:rsidR="009169EA" w:rsidRPr="00C1617A" w:rsidRDefault="00C1617A" w:rsidP="000E22C9">
      <w:pPr>
        <w:keepNext/>
        <w:keepLines/>
        <w:spacing w:after="120"/>
        <w:ind w:right="-1"/>
        <w:rPr>
          <w:b/>
          <w:szCs w:val="24"/>
        </w:rPr>
      </w:pPr>
      <w:r w:rsidRPr="00C1617A">
        <w:rPr>
          <w:b/>
          <w:szCs w:val="24"/>
        </w:rPr>
        <w:lastRenderedPageBreak/>
        <w:t>Percentage chan</w:t>
      </w:r>
      <w:r w:rsidR="00162A83">
        <w:rPr>
          <w:b/>
          <w:szCs w:val="24"/>
        </w:rPr>
        <w:t>ge in employee jobs 2014 to 2015</w:t>
      </w:r>
      <w:r w:rsidRPr="00C1617A">
        <w:rPr>
          <w:b/>
          <w:szCs w:val="24"/>
        </w:rPr>
        <w:t xml:space="preserve"> – LCR districts</w:t>
      </w:r>
    </w:p>
    <w:p w:rsidR="009169EA" w:rsidRDefault="00C1617A" w:rsidP="000E22C9">
      <w:pPr>
        <w:keepNext/>
        <w:keepLines/>
        <w:spacing w:before="120"/>
        <w:ind w:right="-1"/>
        <w:rPr>
          <w:noProof/>
          <w:lang w:eastAsia="en-GB"/>
        </w:rPr>
      </w:pPr>
      <w:r w:rsidRPr="00C1617A">
        <w:rPr>
          <w:noProof/>
          <w:lang w:eastAsia="en-GB"/>
        </w:rPr>
        <w:drawing>
          <wp:inline distT="0" distB="0" distL="0" distR="0" wp14:anchorId="138BBB10" wp14:editId="72940F2E">
            <wp:extent cx="5216708" cy="317182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22214" cy="3175173"/>
                    </a:xfrm>
                    <a:prstGeom prst="rect">
                      <a:avLst/>
                    </a:prstGeom>
                  </pic:spPr>
                </pic:pic>
              </a:graphicData>
            </a:graphic>
          </wp:inline>
        </w:drawing>
      </w:r>
    </w:p>
    <w:p w:rsidR="009169EA" w:rsidRDefault="00C1617A" w:rsidP="000E22C9">
      <w:pPr>
        <w:keepNext/>
        <w:keepLines/>
        <w:spacing w:after="120"/>
        <w:jc w:val="both"/>
        <w:rPr>
          <w:i/>
          <w:sz w:val="22"/>
        </w:rPr>
      </w:pPr>
      <w:r w:rsidRPr="00C1617A">
        <w:rPr>
          <w:i/>
          <w:sz w:val="22"/>
        </w:rPr>
        <w:t xml:space="preserve">Source: Business Register and Employment Survey, NOMIS </w:t>
      </w:r>
    </w:p>
    <w:p w:rsidR="009169EA" w:rsidRPr="009169EA" w:rsidRDefault="009169EA" w:rsidP="00E016D0">
      <w:pPr>
        <w:pStyle w:val="Heading1"/>
        <w:ind w:right="-1"/>
      </w:pPr>
      <w:r w:rsidRPr="009169EA">
        <w:t>Employee Jobs by Sector</w:t>
      </w:r>
    </w:p>
    <w:p w:rsidR="009169EA" w:rsidRDefault="009169EA" w:rsidP="00500D60">
      <w:pPr>
        <w:spacing w:after="120"/>
        <w:rPr>
          <w:rFonts w:cs="Arial"/>
        </w:rPr>
      </w:pPr>
      <w:r w:rsidRPr="00FE091D">
        <w:rPr>
          <w:rFonts w:cs="Arial"/>
        </w:rPr>
        <w:t>Looking at employment by sector, health is the biggest employer in Brad</w:t>
      </w:r>
      <w:r>
        <w:rPr>
          <w:rFonts w:cs="Arial"/>
        </w:rPr>
        <w:t>ford</w:t>
      </w:r>
      <w:r w:rsidR="00271999">
        <w:rPr>
          <w:rFonts w:cs="Arial"/>
        </w:rPr>
        <w:t xml:space="preserve"> District with a total of 31,000  employees or 16.0 </w:t>
      </w:r>
      <w:r w:rsidRPr="00FE091D">
        <w:rPr>
          <w:rFonts w:cs="Arial"/>
        </w:rPr>
        <w:t>% of all employees. Other major employment</w:t>
      </w:r>
      <w:r w:rsidR="00271999">
        <w:rPr>
          <w:rFonts w:cs="Arial"/>
        </w:rPr>
        <w:t xml:space="preserve"> sectors are manufacturing (24,900  or 12.8%), education (24,000 or 12.3%) and retail (18,000 or 9.3</w:t>
      </w:r>
      <w:r w:rsidRPr="00FE091D">
        <w:rPr>
          <w:rFonts w:cs="Arial"/>
        </w:rPr>
        <w:t>%).</w:t>
      </w:r>
    </w:p>
    <w:p w:rsidR="00BC1FFB" w:rsidRPr="00BC1FFB" w:rsidRDefault="00BC1FFB" w:rsidP="00BC1FFB">
      <w:pPr>
        <w:spacing w:after="120"/>
        <w:ind w:right="-1"/>
        <w:rPr>
          <w:b/>
          <w:szCs w:val="24"/>
        </w:rPr>
      </w:pPr>
      <w:r w:rsidRPr="00BC1FFB">
        <w:rPr>
          <w:b/>
          <w:szCs w:val="24"/>
        </w:rPr>
        <w:t>Employee jo</w:t>
      </w:r>
      <w:r w:rsidR="00271999">
        <w:rPr>
          <w:b/>
          <w:szCs w:val="24"/>
        </w:rPr>
        <w:t>bs by industry group 2014</w:t>
      </w:r>
      <w:r w:rsidRPr="00BC1FFB">
        <w:rPr>
          <w:b/>
          <w:szCs w:val="24"/>
        </w:rPr>
        <w:t xml:space="preserve"> </w:t>
      </w:r>
      <w:r w:rsidR="00271999">
        <w:rPr>
          <w:b/>
          <w:szCs w:val="24"/>
        </w:rPr>
        <w:t xml:space="preserve">– 2015- </w:t>
      </w:r>
      <w:r w:rsidRPr="00BC1FFB">
        <w:rPr>
          <w:b/>
          <w:szCs w:val="24"/>
        </w:rPr>
        <w:t xml:space="preserve"> Bradford</w:t>
      </w:r>
    </w:p>
    <w:tbl>
      <w:tblPr>
        <w:tblW w:w="9938" w:type="dxa"/>
        <w:tblInd w:w="93" w:type="dxa"/>
        <w:tblLook w:val="04A0" w:firstRow="1" w:lastRow="0" w:firstColumn="1" w:lastColumn="0" w:noHBand="0" w:noVBand="1"/>
      </w:tblPr>
      <w:tblGrid>
        <w:gridCol w:w="3559"/>
        <w:gridCol w:w="1123"/>
        <w:gridCol w:w="1003"/>
        <w:gridCol w:w="1123"/>
        <w:gridCol w:w="1004"/>
        <w:gridCol w:w="1134"/>
        <w:gridCol w:w="992"/>
      </w:tblGrid>
      <w:tr w:rsidR="00BC1FFB" w:rsidRPr="00BC1FFB" w:rsidTr="00762528">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C1FFB" w:rsidRPr="00BC1FFB" w:rsidRDefault="00BC1FFB" w:rsidP="00BC1FFB">
            <w:pPr>
              <w:jc w:val="center"/>
              <w:rPr>
                <w:rFonts w:eastAsia="Times New Roman" w:cs="Arial"/>
                <w:b/>
                <w:color w:val="FFFFFF" w:themeColor="background1"/>
                <w:szCs w:val="24"/>
                <w:lang w:eastAsia="en-GB"/>
              </w:rPr>
            </w:pPr>
          </w:p>
        </w:tc>
        <w:tc>
          <w:tcPr>
            <w:tcW w:w="2126" w:type="dxa"/>
            <w:gridSpan w:val="2"/>
            <w:tcBorders>
              <w:top w:val="single" w:sz="4" w:space="0" w:color="auto"/>
              <w:left w:val="nil"/>
              <w:bottom w:val="single" w:sz="4" w:space="0" w:color="auto"/>
              <w:right w:val="single" w:sz="4" w:space="0" w:color="auto"/>
            </w:tcBorders>
            <w:shd w:val="clear" w:color="auto" w:fill="4F81BD" w:themeFill="accent1"/>
            <w:noWrap/>
            <w:vAlign w:val="bottom"/>
            <w:hideMark/>
          </w:tcPr>
          <w:p w:rsidR="00BC1FFB" w:rsidRPr="00BC1FFB" w:rsidRDefault="000A1B69" w:rsidP="00BC1FFB">
            <w:pPr>
              <w:jc w:val="center"/>
              <w:rPr>
                <w:rFonts w:eastAsia="Times New Roman" w:cs="Arial"/>
                <w:b/>
                <w:color w:val="FFFFFF" w:themeColor="background1"/>
                <w:szCs w:val="24"/>
                <w:lang w:eastAsia="en-GB"/>
              </w:rPr>
            </w:pPr>
            <w:r>
              <w:rPr>
                <w:rFonts w:eastAsia="Times New Roman" w:cs="Arial"/>
                <w:b/>
                <w:color w:val="FFFFFF" w:themeColor="background1"/>
                <w:szCs w:val="24"/>
                <w:lang w:eastAsia="en-GB"/>
              </w:rPr>
              <w:t>2014</w:t>
            </w:r>
          </w:p>
        </w:tc>
        <w:tc>
          <w:tcPr>
            <w:tcW w:w="2127" w:type="dxa"/>
            <w:gridSpan w:val="2"/>
            <w:tcBorders>
              <w:top w:val="single" w:sz="4" w:space="0" w:color="auto"/>
              <w:left w:val="nil"/>
              <w:bottom w:val="single" w:sz="4" w:space="0" w:color="auto"/>
              <w:right w:val="single" w:sz="4" w:space="0" w:color="auto"/>
            </w:tcBorders>
            <w:shd w:val="clear" w:color="auto" w:fill="4F81BD" w:themeFill="accent1"/>
            <w:noWrap/>
            <w:vAlign w:val="bottom"/>
            <w:hideMark/>
          </w:tcPr>
          <w:p w:rsidR="00BC1FFB" w:rsidRPr="00BC1FFB" w:rsidRDefault="00BF5844" w:rsidP="00BC1FFB">
            <w:pPr>
              <w:jc w:val="center"/>
              <w:rPr>
                <w:rFonts w:eastAsia="Times New Roman" w:cs="Arial"/>
                <w:b/>
                <w:color w:val="FFFFFF" w:themeColor="background1"/>
                <w:szCs w:val="24"/>
                <w:lang w:eastAsia="en-GB"/>
              </w:rPr>
            </w:pPr>
            <w:r>
              <w:rPr>
                <w:rFonts w:eastAsia="Times New Roman" w:cs="Arial"/>
                <w:b/>
                <w:color w:val="FFFFFF" w:themeColor="background1"/>
                <w:szCs w:val="24"/>
                <w:lang w:eastAsia="en-GB"/>
              </w:rPr>
              <w:t>2015</w:t>
            </w:r>
          </w:p>
        </w:tc>
        <w:tc>
          <w:tcPr>
            <w:tcW w:w="2126" w:type="dxa"/>
            <w:gridSpan w:val="2"/>
            <w:tcBorders>
              <w:top w:val="single" w:sz="4" w:space="0" w:color="auto"/>
              <w:left w:val="nil"/>
              <w:bottom w:val="single" w:sz="4" w:space="0" w:color="auto"/>
              <w:right w:val="single" w:sz="4" w:space="0" w:color="auto"/>
            </w:tcBorders>
            <w:shd w:val="clear" w:color="auto" w:fill="4F81BD" w:themeFill="accent1"/>
            <w:noWrap/>
            <w:vAlign w:val="bottom"/>
            <w:hideMark/>
          </w:tcPr>
          <w:p w:rsidR="00BC1FFB" w:rsidRPr="00BC1FFB" w:rsidRDefault="00BF5844" w:rsidP="00BC1FFB">
            <w:pPr>
              <w:jc w:val="center"/>
              <w:rPr>
                <w:rFonts w:eastAsia="Times New Roman" w:cs="Arial"/>
                <w:b/>
                <w:color w:val="FFFFFF" w:themeColor="background1"/>
                <w:szCs w:val="24"/>
                <w:lang w:eastAsia="en-GB"/>
              </w:rPr>
            </w:pPr>
            <w:r>
              <w:rPr>
                <w:rFonts w:eastAsia="Times New Roman" w:cs="Arial"/>
                <w:b/>
                <w:color w:val="FFFFFF" w:themeColor="background1"/>
                <w:szCs w:val="24"/>
                <w:lang w:eastAsia="en-GB"/>
              </w:rPr>
              <w:t>Change 2014 - 2015</w:t>
            </w:r>
          </w:p>
        </w:tc>
      </w:tr>
      <w:tr w:rsidR="00BC1FFB" w:rsidRPr="00BC1FFB" w:rsidTr="00762528">
        <w:trPr>
          <w:trHeight w:val="270"/>
        </w:trPr>
        <w:tc>
          <w:tcPr>
            <w:tcW w:w="3559" w:type="dxa"/>
            <w:tcBorders>
              <w:top w:val="nil"/>
              <w:left w:val="single" w:sz="4" w:space="0" w:color="auto"/>
              <w:bottom w:val="double" w:sz="6" w:space="0" w:color="auto"/>
              <w:right w:val="single" w:sz="4" w:space="0" w:color="auto"/>
            </w:tcBorders>
            <w:shd w:val="clear" w:color="auto" w:fill="4F81BD" w:themeFill="accent1"/>
            <w:noWrap/>
            <w:vAlign w:val="bottom"/>
            <w:hideMark/>
          </w:tcPr>
          <w:p w:rsidR="00BC1FFB" w:rsidRPr="00BC1FFB" w:rsidRDefault="00BC1FFB" w:rsidP="00BC1FFB">
            <w:pPr>
              <w:jc w:val="center"/>
              <w:rPr>
                <w:rFonts w:eastAsia="Times New Roman" w:cs="Arial"/>
                <w:b/>
                <w:color w:val="FFFFFF" w:themeColor="background1"/>
                <w:szCs w:val="24"/>
                <w:lang w:eastAsia="en-GB"/>
              </w:rPr>
            </w:pPr>
            <w:r w:rsidRPr="00BC1FFB">
              <w:rPr>
                <w:rFonts w:eastAsia="Times New Roman" w:cs="Arial"/>
                <w:b/>
                <w:color w:val="FFFFFF" w:themeColor="background1"/>
                <w:szCs w:val="24"/>
                <w:lang w:eastAsia="en-GB"/>
              </w:rPr>
              <w:t>Industry sector</w:t>
            </w:r>
          </w:p>
        </w:tc>
        <w:tc>
          <w:tcPr>
            <w:tcW w:w="1123" w:type="dxa"/>
            <w:tcBorders>
              <w:top w:val="nil"/>
              <w:left w:val="nil"/>
              <w:bottom w:val="double" w:sz="6" w:space="0" w:color="auto"/>
              <w:right w:val="single" w:sz="4" w:space="0" w:color="auto"/>
            </w:tcBorders>
            <w:shd w:val="clear" w:color="auto" w:fill="4F81BD" w:themeFill="accent1"/>
            <w:noWrap/>
            <w:vAlign w:val="bottom"/>
            <w:hideMark/>
          </w:tcPr>
          <w:p w:rsidR="00BC1FFB" w:rsidRPr="00BC1FFB" w:rsidRDefault="00BC1FFB" w:rsidP="00BC1FFB">
            <w:pPr>
              <w:jc w:val="center"/>
              <w:rPr>
                <w:rFonts w:eastAsia="Times New Roman" w:cs="Arial"/>
                <w:b/>
                <w:color w:val="FFFFFF" w:themeColor="background1"/>
                <w:szCs w:val="24"/>
                <w:lang w:eastAsia="en-GB"/>
              </w:rPr>
            </w:pPr>
            <w:r w:rsidRPr="00BC1FFB">
              <w:rPr>
                <w:rFonts w:eastAsia="Times New Roman" w:cs="Arial"/>
                <w:b/>
                <w:color w:val="FFFFFF" w:themeColor="background1"/>
                <w:szCs w:val="24"/>
                <w:lang w:eastAsia="en-GB"/>
              </w:rPr>
              <w:t>Number</w:t>
            </w:r>
          </w:p>
        </w:tc>
        <w:tc>
          <w:tcPr>
            <w:tcW w:w="1003" w:type="dxa"/>
            <w:tcBorders>
              <w:top w:val="nil"/>
              <w:left w:val="nil"/>
              <w:bottom w:val="double" w:sz="6" w:space="0" w:color="auto"/>
              <w:right w:val="single" w:sz="4" w:space="0" w:color="auto"/>
            </w:tcBorders>
            <w:shd w:val="clear" w:color="auto" w:fill="4F81BD" w:themeFill="accent1"/>
            <w:noWrap/>
            <w:vAlign w:val="bottom"/>
            <w:hideMark/>
          </w:tcPr>
          <w:p w:rsidR="00BC1FFB" w:rsidRPr="00BC1FFB" w:rsidRDefault="00BC1FFB" w:rsidP="00BC1FFB">
            <w:pPr>
              <w:jc w:val="center"/>
              <w:rPr>
                <w:rFonts w:eastAsia="Times New Roman" w:cs="Arial"/>
                <w:b/>
                <w:color w:val="FFFFFF" w:themeColor="background1"/>
                <w:szCs w:val="24"/>
                <w:lang w:eastAsia="en-GB"/>
              </w:rPr>
            </w:pPr>
            <w:r w:rsidRPr="00BC1FFB">
              <w:rPr>
                <w:rFonts w:eastAsia="Times New Roman" w:cs="Arial"/>
                <w:b/>
                <w:color w:val="FFFFFF" w:themeColor="background1"/>
                <w:szCs w:val="24"/>
                <w:lang w:eastAsia="en-GB"/>
              </w:rPr>
              <w:t>%</w:t>
            </w:r>
          </w:p>
        </w:tc>
        <w:tc>
          <w:tcPr>
            <w:tcW w:w="1123" w:type="dxa"/>
            <w:tcBorders>
              <w:top w:val="nil"/>
              <w:left w:val="nil"/>
              <w:bottom w:val="double" w:sz="6" w:space="0" w:color="auto"/>
              <w:right w:val="single" w:sz="4" w:space="0" w:color="auto"/>
            </w:tcBorders>
            <w:shd w:val="clear" w:color="auto" w:fill="4F81BD" w:themeFill="accent1"/>
            <w:noWrap/>
            <w:vAlign w:val="bottom"/>
            <w:hideMark/>
          </w:tcPr>
          <w:p w:rsidR="00BC1FFB" w:rsidRPr="00BC1FFB" w:rsidRDefault="00BC1FFB" w:rsidP="00BC1FFB">
            <w:pPr>
              <w:jc w:val="center"/>
              <w:rPr>
                <w:rFonts w:eastAsia="Times New Roman" w:cs="Arial"/>
                <w:b/>
                <w:color w:val="FFFFFF" w:themeColor="background1"/>
                <w:szCs w:val="24"/>
                <w:lang w:eastAsia="en-GB"/>
              </w:rPr>
            </w:pPr>
            <w:r w:rsidRPr="00BC1FFB">
              <w:rPr>
                <w:rFonts w:eastAsia="Times New Roman" w:cs="Arial"/>
                <w:b/>
                <w:color w:val="FFFFFF" w:themeColor="background1"/>
                <w:szCs w:val="24"/>
                <w:lang w:eastAsia="en-GB"/>
              </w:rPr>
              <w:t>Number</w:t>
            </w:r>
          </w:p>
        </w:tc>
        <w:tc>
          <w:tcPr>
            <w:tcW w:w="1004" w:type="dxa"/>
            <w:tcBorders>
              <w:top w:val="nil"/>
              <w:left w:val="nil"/>
              <w:bottom w:val="double" w:sz="6" w:space="0" w:color="auto"/>
              <w:right w:val="single" w:sz="4" w:space="0" w:color="auto"/>
            </w:tcBorders>
            <w:shd w:val="clear" w:color="auto" w:fill="4F81BD" w:themeFill="accent1"/>
            <w:noWrap/>
            <w:vAlign w:val="bottom"/>
            <w:hideMark/>
          </w:tcPr>
          <w:p w:rsidR="00BC1FFB" w:rsidRPr="00BC1FFB" w:rsidRDefault="00BC1FFB" w:rsidP="00BC1FFB">
            <w:pPr>
              <w:jc w:val="center"/>
              <w:rPr>
                <w:rFonts w:eastAsia="Times New Roman" w:cs="Arial"/>
                <w:b/>
                <w:color w:val="FFFFFF" w:themeColor="background1"/>
                <w:szCs w:val="24"/>
                <w:lang w:eastAsia="en-GB"/>
              </w:rPr>
            </w:pPr>
            <w:r w:rsidRPr="00BC1FFB">
              <w:rPr>
                <w:rFonts w:eastAsia="Times New Roman" w:cs="Arial"/>
                <w:b/>
                <w:color w:val="FFFFFF" w:themeColor="background1"/>
                <w:szCs w:val="24"/>
                <w:lang w:eastAsia="en-GB"/>
              </w:rPr>
              <w:t>%</w:t>
            </w:r>
          </w:p>
        </w:tc>
        <w:tc>
          <w:tcPr>
            <w:tcW w:w="1134" w:type="dxa"/>
            <w:tcBorders>
              <w:top w:val="nil"/>
              <w:left w:val="nil"/>
              <w:bottom w:val="double" w:sz="6" w:space="0" w:color="auto"/>
              <w:right w:val="single" w:sz="4" w:space="0" w:color="auto"/>
            </w:tcBorders>
            <w:shd w:val="clear" w:color="auto" w:fill="4F81BD" w:themeFill="accent1"/>
            <w:noWrap/>
            <w:vAlign w:val="bottom"/>
            <w:hideMark/>
          </w:tcPr>
          <w:p w:rsidR="00BC1FFB" w:rsidRPr="00BC1FFB" w:rsidRDefault="00BC1FFB" w:rsidP="00BC1FFB">
            <w:pPr>
              <w:jc w:val="center"/>
              <w:rPr>
                <w:rFonts w:eastAsia="Times New Roman" w:cs="Arial"/>
                <w:b/>
                <w:color w:val="FFFFFF" w:themeColor="background1"/>
                <w:szCs w:val="24"/>
                <w:lang w:eastAsia="en-GB"/>
              </w:rPr>
            </w:pPr>
            <w:r w:rsidRPr="00BC1FFB">
              <w:rPr>
                <w:rFonts w:eastAsia="Times New Roman" w:cs="Arial"/>
                <w:b/>
                <w:color w:val="FFFFFF" w:themeColor="background1"/>
                <w:szCs w:val="24"/>
                <w:lang w:eastAsia="en-GB"/>
              </w:rPr>
              <w:t>Number</w:t>
            </w:r>
          </w:p>
        </w:tc>
        <w:tc>
          <w:tcPr>
            <w:tcW w:w="992" w:type="dxa"/>
            <w:tcBorders>
              <w:top w:val="nil"/>
              <w:left w:val="nil"/>
              <w:bottom w:val="double" w:sz="6" w:space="0" w:color="auto"/>
              <w:right w:val="single" w:sz="4" w:space="0" w:color="auto"/>
            </w:tcBorders>
            <w:shd w:val="clear" w:color="auto" w:fill="4F81BD" w:themeFill="accent1"/>
            <w:noWrap/>
            <w:vAlign w:val="bottom"/>
            <w:hideMark/>
          </w:tcPr>
          <w:p w:rsidR="00BC1FFB" w:rsidRPr="00BC1FFB" w:rsidRDefault="00BC1FFB" w:rsidP="00BC1FFB">
            <w:pPr>
              <w:jc w:val="center"/>
              <w:rPr>
                <w:rFonts w:eastAsia="Times New Roman" w:cs="Arial"/>
                <w:b/>
                <w:color w:val="FFFFFF" w:themeColor="background1"/>
                <w:szCs w:val="24"/>
                <w:lang w:eastAsia="en-GB"/>
              </w:rPr>
            </w:pPr>
            <w:r w:rsidRPr="00BC1FFB">
              <w:rPr>
                <w:rFonts w:eastAsia="Times New Roman" w:cs="Arial"/>
                <w:b/>
                <w:color w:val="FFFFFF" w:themeColor="background1"/>
                <w:szCs w:val="24"/>
                <w:lang w:eastAsia="en-GB"/>
              </w:rPr>
              <w:t>%</w:t>
            </w:r>
          </w:p>
        </w:tc>
      </w:tr>
      <w:tr w:rsidR="000A1B69" w:rsidRPr="00BC1FFB" w:rsidTr="000A1B69">
        <w:trPr>
          <w:trHeight w:val="27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Pr>
                <w:rFonts w:eastAsia="Times New Roman" w:cs="Arial"/>
                <w:color w:val="000000"/>
                <w:szCs w:val="24"/>
                <w:lang w:eastAsia="en-GB"/>
              </w:rPr>
              <w:t>Mining</w:t>
            </w:r>
            <w:r w:rsidRPr="00BC1FFB">
              <w:rPr>
                <w:rFonts w:eastAsia="Times New Roman" w:cs="Arial"/>
                <w:color w:val="000000"/>
                <w:szCs w:val="24"/>
                <w:lang w:eastAsia="en-GB"/>
              </w:rPr>
              <w:t>, Quarrying</w:t>
            </w:r>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3,000</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1.6</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0A1B69" w:rsidP="00FD61FD">
            <w:pPr>
              <w:rPr>
                <w:rFonts w:eastAsia="Times New Roman" w:cs="Arial"/>
                <w:color w:val="000000"/>
                <w:szCs w:val="24"/>
                <w:lang w:eastAsia="en-GB"/>
              </w:rPr>
            </w:pPr>
            <w:r>
              <w:rPr>
                <w:rFonts w:eastAsia="Times New Roman" w:cs="Arial"/>
                <w:color w:val="000000"/>
                <w:szCs w:val="24"/>
                <w:lang w:eastAsia="en-GB"/>
              </w:rPr>
              <w:t>3000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BF5844" w:rsidP="00FD61FD">
            <w:pPr>
              <w:rPr>
                <w:rFonts w:eastAsia="Times New Roman" w:cs="Arial"/>
                <w:color w:val="000000"/>
                <w:szCs w:val="24"/>
                <w:lang w:eastAsia="en-GB"/>
              </w:rPr>
            </w:pPr>
            <w:r>
              <w:rPr>
                <w:rFonts w:eastAsia="Times New Roman" w:cs="Arial"/>
                <w:color w:val="000000"/>
                <w:szCs w:val="24"/>
                <w:lang w:eastAsia="en-GB"/>
              </w:rPr>
              <w:t>1.6</w:t>
            </w:r>
          </w:p>
        </w:tc>
        <w:tc>
          <w:tcPr>
            <w:tcW w:w="1134" w:type="dxa"/>
            <w:tcBorders>
              <w:top w:val="nil"/>
              <w:left w:val="nil"/>
              <w:bottom w:val="single" w:sz="4" w:space="0" w:color="auto"/>
              <w:right w:val="single" w:sz="4" w:space="0" w:color="auto"/>
            </w:tcBorders>
            <w:shd w:val="clear" w:color="auto" w:fill="auto"/>
            <w:noWrap/>
            <w:vAlign w:val="bottom"/>
            <w:hideMark/>
          </w:tcPr>
          <w:p w:rsidR="000A1B69" w:rsidRPr="00BC1FFB" w:rsidRDefault="00442C6D" w:rsidP="00BC1FFB">
            <w:pPr>
              <w:jc w:val="right"/>
              <w:rPr>
                <w:rFonts w:eastAsia="Times New Roman" w:cs="Arial"/>
                <w:color w:val="000000"/>
                <w:szCs w:val="24"/>
                <w:lang w:eastAsia="en-GB"/>
              </w:rPr>
            </w:pPr>
            <w:r>
              <w:rPr>
                <w:rFonts w:eastAsia="Times New Roman" w:cs="Arial"/>
                <w:color w:val="000000"/>
                <w:szCs w:val="24"/>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442C6D" w:rsidP="00442C6D">
            <w:pPr>
              <w:jc w:val="center"/>
              <w:rPr>
                <w:rFonts w:eastAsia="Times New Roman" w:cs="Arial"/>
                <w:color w:val="000000"/>
                <w:szCs w:val="24"/>
                <w:lang w:eastAsia="en-GB"/>
              </w:rPr>
            </w:pPr>
            <w:r>
              <w:rPr>
                <w:rFonts w:eastAsia="Times New Roman" w:cs="Arial"/>
                <w:color w:val="000000"/>
                <w:szCs w:val="24"/>
                <w:lang w:eastAsia="en-GB"/>
              </w:rPr>
              <w:t>0</w:t>
            </w:r>
          </w:p>
        </w:tc>
      </w:tr>
      <w:tr w:rsidR="000A1B69" w:rsidRPr="00BC1FFB" w:rsidTr="000A1B69">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sidRPr="00BC1FFB">
              <w:rPr>
                <w:rFonts w:eastAsia="Times New Roman" w:cs="Arial"/>
                <w:color w:val="000000"/>
                <w:szCs w:val="24"/>
                <w:lang w:eastAsia="en-GB"/>
              </w:rPr>
              <w:t>Manufacturing</w:t>
            </w:r>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BF5844" w:rsidP="00FD61FD">
            <w:pPr>
              <w:rPr>
                <w:rFonts w:eastAsia="Times New Roman" w:cs="Arial"/>
                <w:color w:val="000000"/>
                <w:szCs w:val="24"/>
                <w:lang w:eastAsia="en-GB"/>
              </w:rPr>
            </w:pPr>
            <w:r>
              <w:rPr>
                <w:rFonts w:eastAsia="Times New Roman" w:cs="Arial"/>
                <w:color w:val="000000"/>
                <w:szCs w:val="24"/>
                <w:lang w:eastAsia="en-GB"/>
              </w:rPr>
              <w:t xml:space="preserve">24,200 </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12.8</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FD61FD" w:rsidP="00FD61FD">
            <w:pPr>
              <w:rPr>
                <w:rFonts w:eastAsia="Times New Roman" w:cs="Arial"/>
                <w:color w:val="000000"/>
                <w:szCs w:val="24"/>
                <w:lang w:eastAsia="en-GB"/>
              </w:rPr>
            </w:pPr>
            <w:r>
              <w:rPr>
                <w:rFonts w:eastAsia="Times New Roman" w:cs="Arial"/>
                <w:color w:val="000000"/>
                <w:szCs w:val="24"/>
                <w:lang w:eastAsia="en-GB"/>
              </w:rPr>
              <w:t>24,900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FD61FD" w:rsidP="00FD61FD">
            <w:pPr>
              <w:rPr>
                <w:rFonts w:eastAsia="Times New Roman" w:cs="Arial"/>
                <w:color w:val="000000"/>
                <w:szCs w:val="24"/>
                <w:lang w:eastAsia="en-GB"/>
              </w:rPr>
            </w:pPr>
            <w:r>
              <w:rPr>
                <w:rFonts w:eastAsia="Times New Roman" w:cs="Arial"/>
                <w:color w:val="000000"/>
                <w:szCs w:val="24"/>
                <w:lang w:eastAsia="en-GB"/>
              </w:rPr>
              <w:t>12.8</w:t>
            </w:r>
          </w:p>
        </w:tc>
        <w:tc>
          <w:tcPr>
            <w:tcW w:w="1134" w:type="dxa"/>
            <w:tcBorders>
              <w:top w:val="nil"/>
              <w:left w:val="nil"/>
              <w:bottom w:val="single" w:sz="4" w:space="0" w:color="auto"/>
              <w:right w:val="single" w:sz="4" w:space="0" w:color="auto"/>
            </w:tcBorders>
            <w:shd w:val="clear" w:color="auto" w:fill="auto"/>
            <w:noWrap/>
            <w:vAlign w:val="bottom"/>
            <w:hideMark/>
          </w:tcPr>
          <w:p w:rsidR="000A1B69" w:rsidRPr="00BC1FFB" w:rsidRDefault="00442C6D" w:rsidP="00BC1FFB">
            <w:pPr>
              <w:jc w:val="right"/>
              <w:rPr>
                <w:rFonts w:eastAsia="Times New Roman" w:cs="Arial"/>
                <w:color w:val="000000"/>
                <w:szCs w:val="24"/>
                <w:lang w:eastAsia="en-GB"/>
              </w:rPr>
            </w:pPr>
            <w:r>
              <w:rPr>
                <w:rFonts w:eastAsia="Times New Roman" w:cs="Arial"/>
                <w:color w:val="000000"/>
                <w:szCs w:val="24"/>
                <w:lang w:eastAsia="en-GB"/>
              </w:rPr>
              <w:t>700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BC1FFB">
            <w:pPr>
              <w:jc w:val="right"/>
              <w:rPr>
                <w:rFonts w:eastAsia="Times New Roman" w:cs="Arial"/>
                <w:color w:val="000000"/>
                <w:szCs w:val="24"/>
                <w:lang w:eastAsia="en-GB"/>
              </w:rPr>
            </w:pPr>
            <w:r w:rsidRPr="00BC1FFB">
              <w:rPr>
                <w:rFonts w:eastAsia="Times New Roman" w:cs="Arial"/>
                <w:color w:val="000000"/>
                <w:szCs w:val="24"/>
                <w:lang w:eastAsia="en-GB"/>
              </w:rPr>
              <w:t>3</w:t>
            </w:r>
          </w:p>
        </w:tc>
      </w:tr>
      <w:tr w:rsidR="000A1B69" w:rsidRPr="00BC1FFB" w:rsidTr="00442C6D">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sidRPr="00BC1FFB">
              <w:rPr>
                <w:rFonts w:eastAsia="Times New Roman" w:cs="Arial"/>
                <w:color w:val="000000"/>
                <w:szCs w:val="24"/>
                <w:lang w:eastAsia="en-GB"/>
              </w:rPr>
              <w:t>Construction</w:t>
            </w:r>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6,000</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3.2</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0A1B69" w:rsidP="00FD61FD">
            <w:pPr>
              <w:rPr>
                <w:rFonts w:eastAsia="Times New Roman" w:cs="Arial"/>
                <w:color w:val="000000"/>
                <w:szCs w:val="24"/>
                <w:lang w:eastAsia="en-GB"/>
              </w:rPr>
            </w:pPr>
            <w:r>
              <w:rPr>
                <w:rFonts w:eastAsia="Times New Roman" w:cs="Arial"/>
                <w:color w:val="000000"/>
                <w:szCs w:val="24"/>
                <w:lang w:eastAsia="en-GB"/>
              </w:rPr>
              <w:t>7,000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BF5844" w:rsidP="00FD61FD">
            <w:pPr>
              <w:rPr>
                <w:rFonts w:eastAsia="Times New Roman" w:cs="Arial"/>
                <w:color w:val="000000"/>
                <w:szCs w:val="24"/>
                <w:lang w:eastAsia="en-GB"/>
              </w:rPr>
            </w:pPr>
            <w:r>
              <w:rPr>
                <w:rFonts w:eastAsia="Times New Roman" w:cs="Arial"/>
                <w:color w:val="000000"/>
                <w:szCs w:val="24"/>
                <w:lang w:eastAsia="en-GB"/>
              </w:rPr>
              <w:t>3.6</w:t>
            </w:r>
          </w:p>
        </w:tc>
        <w:tc>
          <w:tcPr>
            <w:tcW w:w="1134" w:type="dxa"/>
            <w:tcBorders>
              <w:top w:val="nil"/>
              <w:left w:val="nil"/>
              <w:bottom w:val="single" w:sz="4" w:space="0" w:color="auto"/>
              <w:right w:val="single" w:sz="4" w:space="0" w:color="auto"/>
            </w:tcBorders>
            <w:shd w:val="clear" w:color="auto" w:fill="auto"/>
            <w:noWrap/>
            <w:vAlign w:val="bottom"/>
          </w:tcPr>
          <w:p w:rsidR="000A1B69" w:rsidRPr="00BC1FFB" w:rsidRDefault="00442C6D" w:rsidP="00BC1FFB">
            <w:pPr>
              <w:jc w:val="right"/>
              <w:rPr>
                <w:rFonts w:eastAsia="Times New Roman" w:cs="Arial"/>
                <w:color w:val="000000"/>
                <w:szCs w:val="24"/>
                <w:lang w:eastAsia="en-GB"/>
              </w:rPr>
            </w:pPr>
            <w:r>
              <w:rPr>
                <w:rFonts w:eastAsia="Times New Roman" w:cs="Arial"/>
                <w:color w:val="000000"/>
                <w:szCs w:val="24"/>
                <w:lang w:eastAsia="en-GB"/>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442C6D" w:rsidP="00BC1FFB">
            <w:pPr>
              <w:jc w:val="right"/>
              <w:rPr>
                <w:rFonts w:eastAsia="Times New Roman" w:cs="Arial"/>
                <w:color w:val="000000"/>
                <w:szCs w:val="24"/>
                <w:lang w:eastAsia="en-GB"/>
              </w:rPr>
            </w:pPr>
            <w:r>
              <w:rPr>
                <w:rFonts w:eastAsia="Times New Roman" w:cs="Arial"/>
                <w:color w:val="000000"/>
                <w:szCs w:val="24"/>
                <w:lang w:eastAsia="en-GB"/>
              </w:rPr>
              <w:t>16</w:t>
            </w:r>
          </w:p>
        </w:tc>
      </w:tr>
      <w:tr w:rsidR="000A1B69" w:rsidRPr="00BC1FFB" w:rsidTr="00442C6D">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sidRPr="00BC1FFB">
              <w:rPr>
                <w:rFonts w:eastAsia="Times New Roman" w:cs="Arial"/>
                <w:color w:val="000000"/>
                <w:szCs w:val="24"/>
                <w:lang w:eastAsia="en-GB"/>
              </w:rPr>
              <w:t>Motor trades</w:t>
            </w:r>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4,200</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2</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0A1B69" w:rsidP="00FD61FD">
            <w:pPr>
              <w:rPr>
                <w:rFonts w:eastAsia="Times New Roman" w:cs="Arial"/>
                <w:color w:val="000000"/>
                <w:szCs w:val="24"/>
                <w:lang w:eastAsia="en-GB"/>
              </w:rPr>
            </w:pPr>
            <w:r>
              <w:rPr>
                <w:rFonts w:eastAsia="Times New Roman" w:cs="Arial"/>
                <w:color w:val="000000"/>
                <w:szCs w:val="24"/>
                <w:lang w:eastAsia="en-GB"/>
              </w:rPr>
              <w:t>3,500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22762B" w:rsidP="00FD61FD">
            <w:pPr>
              <w:rPr>
                <w:rFonts w:eastAsia="Times New Roman" w:cs="Arial"/>
                <w:color w:val="000000"/>
                <w:szCs w:val="24"/>
                <w:lang w:eastAsia="en-GB"/>
              </w:rPr>
            </w:pPr>
            <w:r>
              <w:rPr>
                <w:rFonts w:eastAsia="Times New Roman" w:cs="Arial"/>
                <w:color w:val="000000"/>
                <w:szCs w:val="24"/>
                <w:lang w:eastAsia="en-GB"/>
              </w:rPr>
              <w:t>1.8</w:t>
            </w:r>
          </w:p>
        </w:tc>
        <w:tc>
          <w:tcPr>
            <w:tcW w:w="1134" w:type="dxa"/>
            <w:tcBorders>
              <w:top w:val="nil"/>
              <w:left w:val="nil"/>
              <w:bottom w:val="single" w:sz="4" w:space="0" w:color="auto"/>
              <w:right w:val="single" w:sz="4" w:space="0" w:color="auto"/>
            </w:tcBorders>
            <w:shd w:val="clear" w:color="auto" w:fill="auto"/>
            <w:noWrap/>
            <w:vAlign w:val="bottom"/>
          </w:tcPr>
          <w:p w:rsidR="000A1B69" w:rsidRPr="00BC1FFB" w:rsidRDefault="00442C6D" w:rsidP="00BC1FFB">
            <w:pPr>
              <w:jc w:val="right"/>
              <w:rPr>
                <w:rFonts w:eastAsia="Times New Roman" w:cs="Arial"/>
                <w:color w:val="000000"/>
                <w:szCs w:val="24"/>
                <w:lang w:eastAsia="en-GB"/>
              </w:rPr>
            </w:pPr>
            <w:r>
              <w:rPr>
                <w:rFonts w:eastAsia="Times New Roman" w:cs="Arial"/>
                <w:color w:val="000000"/>
                <w:szCs w:val="24"/>
                <w:lang w:eastAsia="en-GB"/>
              </w:rPr>
              <w:t>-700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442C6D" w:rsidP="00BC1FFB">
            <w:pPr>
              <w:jc w:val="right"/>
              <w:rPr>
                <w:rFonts w:eastAsia="Times New Roman" w:cs="Arial"/>
                <w:color w:val="000000"/>
                <w:szCs w:val="24"/>
                <w:lang w:eastAsia="en-GB"/>
              </w:rPr>
            </w:pPr>
            <w:r>
              <w:rPr>
                <w:rFonts w:eastAsia="Times New Roman" w:cs="Arial"/>
                <w:color w:val="000000"/>
                <w:szCs w:val="24"/>
                <w:lang w:eastAsia="en-GB"/>
              </w:rPr>
              <w:t>-17</w:t>
            </w:r>
          </w:p>
        </w:tc>
      </w:tr>
      <w:tr w:rsidR="000A1B69" w:rsidRPr="00BC1FFB" w:rsidTr="00442C6D">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sidRPr="00BC1FFB">
              <w:rPr>
                <w:rFonts w:eastAsia="Times New Roman" w:cs="Arial"/>
                <w:color w:val="000000"/>
                <w:szCs w:val="24"/>
                <w:lang w:eastAsia="en-GB"/>
              </w:rPr>
              <w:t>Wholesale</w:t>
            </w:r>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9,100</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4.8</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0A1B69" w:rsidP="00FD61FD">
            <w:pPr>
              <w:rPr>
                <w:rFonts w:eastAsia="Times New Roman" w:cs="Arial"/>
                <w:color w:val="000000"/>
                <w:szCs w:val="24"/>
                <w:lang w:eastAsia="en-GB"/>
              </w:rPr>
            </w:pPr>
            <w:r>
              <w:rPr>
                <w:rFonts w:eastAsia="Times New Roman" w:cs="Arial"/>
                <w:color w:val="000000"/>
                <w:szCs w:val="24"/>
                <w:lang w:eastAsia="en-GB"/>
              </w:rPr>
              <w:t>9,000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22762B" w:rsidP="00FD61FD">
            <w:pPr>
              <w:rPr>
                <w:rFonts w:eastAsia="Times New Roman" w:cs="Arial"/>
                <w:color w:val="000000"/>
                <w:szCs w:val="24"/>
                <w:lang w:eastAsia="en-GB"/>
              </w:rPr>
            </w:pPr>
            <w:r>
              <w:rPr>
                <w:rFonts w:eastAsia="Times New Roman" w:cs="Arial"/>
                <w:color w:val="000000"/>
                <w:szCs w:val="24"/>
                <w:lang w:eastAsia="en-GB"/>
              </w:rPr>
              <w:t>4.7</w:t>
            </w:r>
          </w:p>
        </w:tc>
        <w:tc>
          <w:tcPr>
            <w:tcW w:w="1134" w:type="dxa"/>
            <w:tcBorders>
              <w:top w:val="nil"/>
              <w:left w:val="nil"/>
              <w:bottom w:val="single" w:sz="4" w:space="0" w:color="auto"/>
              <w:right w:val="single" w:sz="4" w:space="0" w:color="auto"/>
            </w:tcBorders>
            <w:shd w:val="clear" w:color="auto" w:fill="auto"/>
            <w:noWrap/>
            <w:vAlign w:val="bottom"/>
          </w:tcPr>
          <w:p w:rsidR="000A1B69" w:rsidRPr="00BC1FFB" w:rsidRDefault="00442C6D" w:rsidP="00BC1FFB">
            <w:pPr>
              <w:jc w:val="right"/>
              <w:rPr>
                <w:rFonts w:eastAsia="Times New Roman" w:cs="Arial"/>
                <w:color w:val="000000"/>
                <w:szCs w:val="24"/>
                <w:lang w:eastAsia="en-GB"/>
              </w:rPr>
            </w:pPr>
            <w:r>
              <w:rPr>
                <w:rFonts w:eastAsia="Times New Roman" w:cs="Arial"/>
                <w:color w:val="000000"/>
                <w:szCs w:val="24"/>
                <w:lang w:eastAsia="en-GB"/>
              </w:rPr>
              <w:t>-100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442C6D" w:rsidP="00BC1FFB">
            <w:pPr>
              <w:jc w:val="right"/>
              <w:rPr>
                <w:rFonts w:eastAsia="Times New Roman" w:cs="Arial"/>
                <w:color w:val="000000"/>
                <w:szCs w:val="24"/>
                <w:lang w:eastAsia="en-GB"/>
              </w:rPr>
            </w:pPr>
            <w:r>
              <w:rPr>
                <w:rFonts w:eastAsia="Times New Roman" w:cs="Arial"/>
                <w:color w:val="000000"/>
                <w:szCs w:val="24"/>
                <w:lang w:eastAsia="en-GB"/>
              </w:rPr>
              <w:t>-1</w:t>
            </w:r>
          </w:p>
        </w:tc>
      </w:tr>
      <w:tr w:rsidR="000A1B69" w:rsidRPr="00BC1FFB" w:rsidTr="00442C6D">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sidRPr="00BC1FFB">
              <w:rPr>
                <w:rFonts w:eastAsia="Times New Roman" w:cs="Arial"/>
                <w:color w:val="000000"/>
                <w:szCs w:val="24"/>
                <w:lang w:eastAsia="en-GB"/>
              </w:rPr>
              <w:t>Retail</w:t>
            </w:r>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18,600</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9.9</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0A1B69" w:rsidP="00FD61FD">
            <w:pPr>
              <w:rPr>
                <w:rFonts w:eastAsia="Times New Roman" w:cs="Arial"/>
                <w:color w:val="000000"/>
                <w:szCs w:val="24"/>
                <w:lang w:eastAsia="en-GB"/>
              </w:rPr>
            </w:pPr>
            <w:r>
              <w:rPr>
                <w:rFonts w:eastAsia="Times New Roman" w:cs="Arial"/>
                <w:color w:val="000000"/>
                <w:szCs w:val="24"/>
                <w:lang w:eastAsia="en-GB"/>
              </w:rPr>
              <w:t>18,000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22762B" w:rsidP="00FD61FD">
            <w:pPr>
              <w:rPr>
                <w:rFonts w:eastAsia="Times New Roman" w:cs="Arial"/>
                <w:color w:val="000000"/>
                <w:szCs w:val="24"/>
                <w:lang w:eastAsia="en-GB"/>
              </w:rPr>
            </w:pPr>
            <w:r>
              <w:rPr>
                <w:rFonts w:eastAsia="Times New Roman" w:cs="Arial"/>
                <w:color w:val="000000"/>
                <w:szCs w:val="24"/>
                <w:lang w:eastAsia="en-GB"/>
              </w:rPr>
              <w:t>9.3</w:t>
            </w:r>
          </w:p>
        </w:tc>
        <w:tc>
          <w:tcPr>
            <w:tcW w:w="1134" w:type="dxa"/>
            <w:tcBorders>
              <w:top w:val="nil"/>
              <w:left w:val="nil"/>
              <w:bottom w:val="single" w:sz="4" w:space="0" w:color="auto"/>
              <w:right w:val="single" w:sz="4" w:space="0" w:color="auto"/>
            </w:tcBorders>
            <w:shd w:val="clear" w:color="auto" w:fill="auto"/>
            <w:noWrap/>
            <w:vAlign w:val="bottom"/>
          </w:tcPr>
          <w:p w:rsidR="000A1B69" w:rsidRPr="00BC1FFB" w:rsidRDefault="00442C6D" w:rsidP="00BC1FFB">
            <w:pPr>
              <w:jc w:val="right"/>
              <w:rPr>
                <w:rFonts w:eastAsia="Times New Roman" w:cs="Arial"/>
                <w:color w:val="000000"/>
                <w:szCs w:val="24"/>
                <w:lang w:eastAsia="en-GB"/>
              </w:rPr>
            </w:pPr>
            <w:r>
              <w:rPr>
                <w:rFonts w:eastAsia="Times New Roman" w:cs="Arial"/>
                <w:color w:val="000000"/>
                <w:szCs w:val="24"/>
                <w:lang w:eastAsia="en-GB"/>
              </w:rPr>
              <w:t>-600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C617CD" w:rsidP="00BC1FFB">
            <w:pPr>
              <w:jc w:val="right"/>
              <w:rPr>
                <w:rFonts w:eastAsia="Times New Roman" w:cs="Arial"/>
                <w:color w:val="000000"/>
                <w:szCs w:val="24"/>
                <w:lang w:eastAsia="en-GB"/>
              </w:rPr>
            </w:pPr>
            <w:r>
              <w:rPr>
                <w:rFonts w:eastAsia="Times New Roman" w:cs="Arial"/>
                <w:color w:val="000000"/>
                <w:szCs w:val="24"/>
                <w:lang w:eastAsia="en-GB"/>
              </w:rPr>
              <w:t>-3</w:t>
            </w:r>
          </w:p>
        </w:tc>
      </w:tr>
      <w:tr w:rsidR="000A1B69" w:rsidRPr="00BC1FFB" w:rsidTr="00442C6D">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sidRPr="00BC1FFB">
              <w:rPr>
                <w:rFonts w:eastAsia="Times New Roman" w:cs="Arial"/>
                <w:color w:val="000000"/>
                <w:szCs w:val="24"/>
                <w:lang w:eastAsia="en-GB"/>
              </w:rPr>
              <w:t>Transport and storage</w:t>
            </w:r>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6,800</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3.6</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FD61FD" w:rsidP="00FD61FD">
            <w:pPr>
              <w:rPr>
                <w:rFonts w:eastAsia="Times New Roman" w:cs="Arial"/>
                <w:color w:val="000000"/>
                <w:szCs w:val="24"/>
                <w:lang w:eastAsia="en-GB"/>
              </w:rPr>
            </w:pPr>
            <w:r>
              <w:rPr>
                <w:rFonts w:eastAsia="Times New Roman" w:cs="Arial"/>
                <w:color w:val="000000"/>
                <w:szCs w:val="24"/>
                <w:lang w:eastAsia="en-GB"/>
              </w:rPr>
              <w:t>7,800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22762B" w:rsidP="00FD61FD">
            <w:pPr>
              <w:rPr>
                <w:rFonts w:eastAsia="Times New Roman" w:cs="Arial"/>
                <w:color w:val="000000"/>
                <w:szCs w:val="24"/>
                <w:lang w:eastAsia="en-GB"/>
              </w:rPr>
            </w:pPr>
            <w:r>
              <w:rPr>
                <w:rFonts w:eastAsia="Times New Roman" w:cs="Arial"/>
                <w:color w:val="000000"/>
                <w:szCs w:val="24"/>
                <w:lang w:eastAsia="en-GB"/>
              </w:rPr>
              <w:t>4.1</w:t>
            </w:r>
          </w:p>
        </w:tc>
        <w:tc>
          <w:tcPr>
            <w:tcW w:w="1134" w:type="dxa"/>
            <w:tcBorders>
              <w:top w:val="nil"/>
              <w:left w:val="nil"/>
              <w:bottom w:val="single" w:sz="4" w:space="0" w:color="auto"/>
              <w:right w:val="single" w:sz="4" w:space="0" w:color="auto"/>
            </w:tcBorders>
            <w:shd w:val="clear" w:color="auto" w:fill="auto"/>
            <w:noWrap/>
            <w:vAlign w:val="bottom"/>
          </w:tcPr>
          <w:p w:rsidR="000A1B69" w:rsidRPr="00BC1FFB" w:rsidRDefault="00C617CD" w:rsidP="00BC1FFB">
            <w:pPr>
              <w:jc w:val="right"/>
              <w:rPr>
                <w:rFonts w:eastAsia="Times New Roman" w:cs="Arial"/>
                <w:color w:val="000000"/>
                <w:szCs w:val="24"/>
                <w:lang w:eastAsia="en-GB"/>
              </w:rPr>
            </w:pPr>
            <w:r>
              <w:rPr>
                <w:rFonts w:eastAsia="Times New Roman" w:cs="Arial"/>
                <w:color w:val="000000"/>
                <w:szCs w:val="24"/>
                <w:lang w:eastAsia="en-GB"/>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C617CD" w:rsidP="00BC1FFB">
            <w:pPr>
              <w:jc w:val="right"/>
              <w:rPr>
                <w:rFonts w:eastAsia="Times New Roman" w:cs="Arial"/>
                <w:color w:val="000000"/>
                <w:szCs w:val="24"/>
                <w:lang w:eastAsia="en-GB"/>
              </w:rPr>
            </w:pPr>
            <w:r>
              <w:rPr>
                <w:rFonts w:eastAsia="Times New Roman" w:cs="Arial"/>
                <w:color w:val="000000"/>
                <w:szCs w:val="24"/>
                <w:lang w:eastAsia="en-GB"/>
              </w:rPr>
              <w:t>15</w:t>
            </w:r>
          </w:p>
        </w:tc>
      </w:tr>
      <w:tr w:rsidR="000A1B69" w:rsidRPr="00BC1FFB" w:rsidTr="00442C6D">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sidRPr="00BC1FFB">
              <w:rPr>
                <w:rFonts w:eastAsia="Times New Roman" w:cs="Arial"/>
                <w:color w:val="000000"/>
                <w:szCs w:val="24"/>
                <w:lang w:eastAsia="en-GB"/>
              </w:rPr>
              <w:t>Accommodation</w:t>
            </w:r>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9,100</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4.8</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0A1B69" w:rsidP="00FD61FD">
            <w:pPr>
              <w:rPr>
                <w:rFonts w:eastAsia="Times New Roman" w:cs="Arial"/>
                <w:color w:val="000000"/>
                <w:szCs w:val="24"/>
                <w:lang w:eastAsia="en-GB"/>
              </w:rPr>
            </w:pPr>
            <w:r>
              <w:rPr>
                <w:rFonts w:eastAsia="Times New Roman" w:cs="Arial"/>
                <w:color w:val="000000"/>
                <w:szCs w:val="24"/>
                <w:lang w:eastAsia="en-GB"/>
              </w:rPr>
              <w:t>9,000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22762B" w:rsidP="00FD61FD">
            <w:pPr>
              <w:rPr>
                <w:rFonts w:eastAsia="Times New Roman" w:cs="Arial"/>
                <w:color w:val="000000"/>
                <w:szCs w:val="24"/>
                <w:lang w:eastAsia="en-GB"/>
              </w:rPr>
            </w:pPr>
            <w:r>
              <w:rPr>
                <w:rFonts w:eastAsia="Times New Roman" w:cs="Arial"/>
                <w:color w:val="000000"/>
                <w:szCs w:val="24"/>
                <w:lang w:eastAsia="en-GB"/>
              </w:rPr>
              <w:t>4.7</w:t>
            </w:r>
          </w:p>
        </w:tc>
        <w:tc>
          <w:tcPr>
            <w:tcW w:w="1134" w:type="dxa"/>
            <w:tcBorders>
              <w:top w:val="nil"/>
              <w:left w:val="nil"/>
              <w:bottom w:val="single" w:sz="4" w:space="0" w:color="auto"/>
              <w:right w:val="single" w:sz="4" w:space="0" w:color="auto"/>
            </w:tcBorders>
            <w:shd w:val="clear" w:color="auto" w:fill="auto"/>
            <w:noWrap/>
            <w:vAlign w:val="bottom"/>
          </w:tcPr>
          <w:p w:rsidR="000A1B69" w:rsidRPr="00BC1FFB" w:rsidRDefault="00C617CD" w:rsidP="00BC1FFB">
            <w:pPr>
              <w:jc w:val="right"/>
              <w:rPr>
                <w:rFonts w:eastAsia="Times New Roman" w:cs="Arial"/>
                <w:color w:val="000000"/>
                <w:szCs w:val="24"/>
                <w:lang w:eastAsia="en-GB"/>
              </w:rPr>
            </w:pPr>
            <w:r>
              <w:rPr>
                <w:rFonts w:eastAsia="Times New Roman" w:cs="Arial"/>
                <w:color w:val="000000"/>
                <w:szCs w:val="24"/>
                <w:lang w:eastAsia="en-GB"/>
              </w:rPr>
              <w:t>-100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C617CD" w:rsidP="00BC1FFB">
            <w:pPr>
              <w:jc w:val="right"/>
              <w:rPr>
                <w:rFonts w:eastAsia="Times New Roman" w:cs="Arial"/>
                <w:color w:val="000000"/>
                <w:szCs w:val="24"/>
                <w:lang w:eastAsia="en-GB"/>
              </w:rPr>
            </w:pPr>
            <w:r>
              <w:rPr>
                <w:rFonts w:eastAsia="Times New Roman" w:cs="Arial"/>
                <w:color w:val="000000"/>
                <w:szCs w:val="24"/>
                <w:lang w:eastAsia="en-GB"/>
              </w:rPr>
              <w:t>-1</w:t>
            </w:r>
          </w:p>
        </w:tc>
      </w:tr>
      <w:tr w:rsidR="000A1B69" w:rsidRPr="00BC1FFB" w:rsidTr="00442C6D">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sidRPr="00BC1FFB">
              <w:rPr>
                <w:rFonts w:eastAsia="Times New Roman" w:cs="Arial"/>
                <w:color w:val="000000"/>
                <w:szCs w:val="24"/>
                <w:lang w:eastAsia="en-GB"/>
              </w:rPr>
              <w:t xml:space="preserve">Information &amp; </w:t>
            </w:r>
            <w:proofErr w:type="spellStart"/>
            <w:r w:rsidRPr="00BC1FFB">
              <w:rPr>
                <w:rFonts w:eastAsia="Times New Roman" w:cs="Arial"/>
                <w:color w:val="000000"/>
                <w:szCs w:val="24"/>
                <w:lang w:eastAsia="en-GB"/>
              </w:rPr>
              <w:t>Comm</w:t>
            </w:r>
            <w:proofErr w:type="spellEnd"/>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5,800</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3.1</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0A1B69" w:rsidP="00FD61FD">
            <w:pPr>
              <w:rPr>
                <w:rFonts w:eastAsia="Times New Roman" w:cs="Arial"/>
                <w:color w:val="000000"/>
                <w:szCs w:val="24"/>
                <w:lang w:eastAsia="en-GB"/>
              </w:rPr>
            </w:pPr>
            <w:r>
              <w:rPr>
                <w:rFonts w:eastAsia="Times New Roman" w:cs="Arial"/>
                <w:color w:val="000000"/>
                <w:szCs w:val="24"/>
                <w:lang w:eastAsia="en-GB"/>
              </w:rPr>
              <w:t>5,000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22762B" w:rsidP="00FD61FD">
            <w:pPr>
              <w:rPr>
                <w:rFonts w:eastAsia="Times New Roman" w:cs="Arial"/>
                <w:color w:val="000000"/>
                <w:szCs w:val="24"/>
                <w:lang w:eastAsia="en-GB"/>
              </w:rPr>
            </w:pPr>
            <w:r>
              <w:rPr>
                <w:rFonts w:eastAsia="Times New Roman" w:cs="Arial"/>
                <w:color w:val="000000"/>
                <w:szCs w:val="24"/>
                <w:lang w:eastAsia="en-GB"/>
              </w:rPr>
              <w:t>2.6</w:t>
            </w:r>
          </w:p>
        </w:tc>
        <w:tc>
          <w:tcPr>
            <w:tcW w:w="1134" w:type="dxa"/>
            <w:tcBorders>
              <w:top w:val="nil"/>
              <w:left w:val="nil"/>
              <w:bottom w:val="single" w:sz="4" w:space="0" w:color="auto"/>
              <w:right w:val="single" w:sz="4" w:space="0" w:color="auto"/>
            </w:tcBorders>
            <w:shd w:val="clear" w:color="auto" w:fill="auto"/>
            <w:noWrap/>
            <w:vAlign w:val="bottom"/>
          </w:tcPr>
          <w:p w:rsidR="000A1B69" w:rsidRPr="00BC1FFB" w:rsidRDefault="00C617CD" w:rsidP="00BC1FFB">
            <w:pPr>
              <w:jc w:val="right"/>
              <w:rPr>
                <w:rFonts w:eastAsia="Times New Roman" w:cs="Arial"/>
                <w:color w:val="000000"/>
                <w:szCs w:val="24"/>
                <w:lang w:eastAsia="en-GB"/>
              </w:rPr>
            </w:pPr>
            <w:r>
              <w:rPr>
                <w:rFonts w:eastAsia="Times New Roman" w:cs="Arial"/>
                <w:color w:val="000000"/>
                <w:szCs w:val="24"/>
                <w:lang w:eastAsia="en-GB"/>
              </w:rPr>
              <w:t>-800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C617CD" w:rsidP="00BC1FFB">
            <w:pPr>
              <w:jc w:val="right"/>
              <w:rPr>
                <w:rFonts w:eastAsia="Times New Roman" w:cs="Arial"/>
                <w:color w:val="000000"/>
                <w:szCs w:val="24"/>
                <w:lang w:eastAsia="en-GB"/>
              </w:rPr>
            </w:pPr>
            <w:r>
              <w:rPr>
                <w:rFonts w:eastAsia="Times New Roman" w:cs="Arial"/>
                <w:color w:val="000000"/>
                <w:szCs w:val="24"/>
                <w:lang w:eastAsia="en-GB"/>
              </w:rPr>
              <w:t>-14</w:t>
            </w:r>
          </w:p>
        </w:tc>
      </w:tr>
      <w:tr w:rsidR="000A1B69" w:rsidRPr="00BC1FFB" w:rsidTr="00442C6D">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sidRPr="00BC1FFB">
              <w:rPr>
                <w:rFonts w:eastAsia="Times New Roman" w:cs="Arial"/>
                <w:color w:val="000000"/>
                <w:szCs w:val="24"/>
                <w:lang w:eastAsia="en-GB"/>
              </w:rPr>
              <w:t>Financial &amp; Ins</w:t>
            </w:r>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7,700</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4</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0A1B69" w:rsidP="00FD61FD">
            <w:pPr>
              <w:rPr>
                <w:rFonts w:eastAsia="Times New Roman" w:cs="Arial"/>
                <w:color w:val="000000"/>
                <w:szCs w:val="24"/>
                <w:lang w:eastAsia="en-GB"/>
              </w:rPr>
            </w:pPr>
            <w:r>
              <w:rPr>
                <w:rFonts w:eastAsia="Times New Roman" w:cs="Arial"/>
                <w:color w:val="000000"/>
                <w:szCs w:val="24"/>
                <w:lang w:eastAsia="en-GB"/>
              </w:rPr>
              <w:t>9,000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22762B" w:rsidP="00FD61FD">
            <w:pPr>
              <w:rPr>
                <w:rFonts w:eastAsia="Times New Roman" w:cs="Arial"/>
                <w:color w:val="000000"/>
                <w:szCs w:val="24"/>
                <w:lang w:eastAsia="en-GB"/>
              </w:rPr>
            </w:pPr>
            <w:r>
              <w:rPr>
                <w:rFonts w:eastAsia="Times New Roman" w:cs="Arial"/>
                <w:color w:val="000000"/>
                <w:szCs w:val="24"/>
                <w:lang w:eastAsia="en-GB"/>
              </w:rPr>
              <w:t>4.7</w:t>
            </w:r>
          </w:p>
        </w:tc>
        <w:tc>
          <w:tcPr>
            <w:tcW w:w="1134" w:type="dxa"/>
            <w:tcBorders>
              <w:top w:val="nil"/>
              <w:left w:val="nil"/>
              <w:bottom w:val="single" w:sz="4" w:space="0" w:color="auto"/>
              <w:right w:val="single" w:sz="4" w:space="0" w:color="auto"/>
            </w:tcBorders>
            <w:shd w:val="clear" w:color="auto" w:fill="auto"/>
            <w:noWrap/>
            <w:vAlign w:val="bottom"/>
          </w:tcPr>
          <w:p w:rsidR="000A1B69" w:rsidRPr="00BC1FFB" w:rsidRDefault="00C617CD" w:rsidP="00BC1FFB">
            <w:pPr>
              <w:jc w:val="right"/>
              <w:rPr>
                <w:rFonts w:eastAsia="Times New Roman" w:cs="Arial"/>
                <w:color w:val="000000"/>
                <w:szCs w:val="24"/>
                <w:lang w:eastAsia="en-GB"/>
              </w:rPr>
            </w:pPr>
            <w:r>
              <w:rPr>
                <w:rFonts w:eastAsia="Times New Roman" w:cs="Arial"/>
                <w:color w:val="000000"/>
                <w:szCs w:val="24"/>
                <w:lang w:eastAsia="en-GB"/>
              </w:rPr>
              <w:t>1,300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C617CD" w:rsidP="00BC1FFB">
            <w:pPr>
              <w:jc w:val="right"/>
              <w:rPr>
                <w:rFonts w:eastAsia="Times New Roman" w:cs="Arial"/>
                <w:color w:val="000000"/>
                <w:szCs w:val="24"/>
                <w:lang w:eastAsia="en-GB"/>
              </w:rPr>
            </w:pPr>
            <w:r>
              <w:rPr>
                <w:rFonts w:eastAsia="Times New Roman" w:cs="Arial"/>
                <w:color w:val="000000"/>
                <w:szCs w:val="24"/>
                <w:lang w:eastAsia="en-GB"/>
              </w:rPr>
              <w:t>17</w:t>
            </w:r>
          </w:p>
        </w:tc>
      </w:tr>
      <w:tr w:rsidR="000A1B69" w:rsidRPr="00BC1FFB" w:rsidTr="00442C6D">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sidRPr="00BC1FFB">
              <w:rPr>
                <w:rFonts w:eastAsia="Times New Roman" w:cs="Arial"/>
                <w:color w:val="000000"/>
                <w:szCs w:val="24"/>
                <w:lang w:eastAsia="en-GB"/>
              </w:rPr>
              <w:t>Property</w:t>
            </w:r>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3,200</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1.7</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0A1B69" w:rsidP="00FD61FD">
            <w:pPr>
              <w:rPr>
                <w:rFonts w:eastAsia="Times New Roman" w:cs="Arial"/>
                <w:color w:val="000000"/>
                <w:szCs w:val="24"/>
                <w:lang w:eastAsia="en-GB"/>
              </w:rPr>
            </w:pPr>
            <w:r>
              <w:rPr>
                <w:rFonts w:eastAsia="Times New Roman" w:cs="Arial"/>
                <w:color w:val="000000"/>
                <w:szCs w:val="24"/>
                <w:lang w:eastAsia="en-GB"/>
              </w:rPr>
              <w:t>3,000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22762B" w:rsidP="00FD61FD">
            <w:pPr>
              <w:rPr>
                <w:rFonts w:eastAsia="Times New Roman" w:cs="Arial"/>
                <w:color w:val="000000"/>
                <w:szCs w:val="24"/>
                <w:lang w:eastAsia="en-GB"/>
              </w:rPr>
            </w:pPr>
            <w:r>
              <w:rPr>
                <w:rFonts w:eastAsia="Times New Roman" w:cs="Arial"/>
                <w:color w:val="000000"/>
                <w:szCs w:val="24"/>
                <w:lang w:eastAsia="en-GB"/>
              </w:rPr>
              <w:t>1.6</w:t>
            </w:r>
          </w:p>
        </w:tc>
        <w:tc>
          <w:tcPr>
            <w:tcW w:w="1134" w:type="dxa"/>
            <w:tcBorders>
              <w:top w:val="nil"/>
              <w:left w:val="nil"/>
              <w:bottom w:val="single" w:sz="4" w:space="0" w:color="auto"/>
              <w:right w:val="single" w:sz="4" w:space="0" w:color="auto"/>
            </w:tcBorders>
            <w:shd w:val="clear" w:color="auto" w:fill="auto"/>
            <w:noWrap/>
            <w:vAlign w:val="bottom"/>
          </w:tcPr>
          <w:p w:rsidR="000A1B69" w:rsidRPr="00BC1FFB" w:rsidRDefault="00C617CD" w:rsidP="00BC1FFB">
            <w:pPr>
              <w:jc w:val="right"/>
              <w:rPr>
                <w:rFonts w:eastAsia="Times New Roman" w:cs="Arial"/>
                <w:color w:val="000000"/>
                <w:szCs w:val="24"/>
                <w:lang w:eastAsia="en-GB"/>
              </w:rPr>
            </w:pPr>
            <w:r>
              <w:rPr>
                <w:rFonts w:eastAsia="Times New Roman" w:cs="Arial"/>
                <w:color w:val="000000"/>
                <w:szCs w:val="24"/>
                <w:lang w:eastAsia="en-GB"/>
              </w:rPr>
              <w:t>-200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C617CD" w:rsidP="00BC1FFB">
            <w:pPr>
              <w:jc w:val="right"/>
              <w:rPr>
                <w:rFonts w:eastAsia="Times New Roman" w:cs="Arial"/>
                <w:color w:val="000000"/>
                <w:szCs w:val="24"/>
                <w:lang w:eastAsia="en-GB"/>
              </w:rPr>
            </w:pPr>
            <w:r>
              <w:rPr>
                <w:rFonts w:eastAsia="Times New Roman" w:cs="Arial"/>
                <w:color w:val="000000"/>
                <w:szCs w:val="24"/>
                <w:lang w:eastAsia="en-GB"/>
              </w:rPr>
              <w:t>-6</w:t>
            </w:r>
          </w:p>
        </w:tc>
      </w:tr>
      <w:tr w:rsidR="000A1B69" w:rsidRPr="00BC1FFB" w:rsidTr="00442C6D">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sidRPr="00BC1FFB">
              <w:rPr>
                <w:rFonts w:eastAsia="Times New Roman" w:cs="Arial"/>
                <w:color w:val="000000"/>
                <w:szCs w:val="24"/>
                <w:lang w:eastAsia="en-GB"/>
              </w:rPr>
              <w:t>Professional scientific</w:t>
            </w:r>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10,900</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5.8</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0A1B69" w:rsidP="00FD61FD">
            <w:pPr>
              <w:rPr>
                <w:rFonts w:eastAsia="Times New Roman" w:cs="Arial"/>
                <w:color w:val="000000"/>
                <w:szCs w:val="24"/>
                <w:lang w:eastAsia="en-GB"/>
              </w:rPr>
            </w:pPr>
            <w:r>
              <w:rPr>
                <w:rFonts w:eastAsia="Times New Roman" w:cs="Arial"/>
                <w:color w:val="000000"/>
                <w:szCs w:val="24"/>
                <w:lang w:eastAsia="en-GB"/>
              </w:rPr>
              <w:t>11,000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22762B" w:rsidP="00FD61FD">
            <w:pPr>
              <w:rPr>
                <w:rFonts w:eastAsia="Times New Roman" w:cs="Arial"/>
                <w:color w:val="000000"/>
                <w:szCs w:val="24"/>
                <w:lang w:eastAsia="en-GB"/>
              </w:rPr>
            </w:pPr>
            <w:r>
              <w:rPr>
                <w:rFonts w:eastAsia="Times New Roman" w:cs="Arial"/>
                <w:color w:val="000000"/>
                <w:szCs w:val="24"/>
                <w:lang w:eastAsia="en-GB"/>
              </w:rPr>
              <w:t>5.7</w:t>
            </w:r>
          </w:p>
        </w:tc>
        <w:tc>
          <w:tcPr>
            <w:tcW w:w="1134" w:type="dxa"/>
            <w:tcBorders>
              <w:top w:val="nil"/>
              <w:left w:val="nil"/>
              <w:bottom w:val="single" w:sz="4" w:space="0" w:color="auto"/>
              <w:right w:val="single" w:sz="4" w:space="0" w:color="auto"/>
            </w:tcBorders>
            <w:shd w:val="clear" w:color="auto" w:fill="auto"/>
            <w:noWrap/>
            <w:vAlign w:val="bottom"/>
          </w:tcPr>
          <w:p w:rsidR="000A1B69" w:rsidRPr="00BC1FFB" w:rsidRDefault="00C617CD" w:rsidP="00BC1FFB">
            <w:pPr>
              <w:jc w:val="right"/>
              <w:rPr>
                <w:rFonts w:eastAsia="Times New Roman" w:cs="Arial"/>
                <w:color w:val="000000"/>
                <w:szCs w:val="24"/>
                <w:lang w:eastAsia="en-GB"/>
              </w:rPr>
            </w:pPr>
            <w:r>
              <w:rPr>
                <w:rFonts w:eastAsia="Times New Roman" w:cs="Arial"/>
                <w:color w:val="000000"/>
                <w:szCs w:val="24"/>
                <w:lang w:eastAsia="en-GB"/>
              </w:rPr>
              <w:t>100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C617CD" w:rsidP="00BC1FFB">
            <w:pPr>
              <w:jc w:val="right"/>
              <w:rPr>
                <w:rFonts w:eastAsia="Times New Roman" w:cs="Arial"/>
                <w:color w:val="000000"/>
                <w:szCs w:val="24"/>
                <w:lang w:eastAsia="en-GB"/>
              </w:rPr>
            </w:pPr>
            <w:r>
              <w:rPr>
                <w:rFonts w:eastAsia="Times New Roman" w:cs="Arial"/>
                <w:color w:val="000000"/>
                <w:szCs w:val="24"/>
                <w:lang w:eastAsia="en-GB"/>
              </w:rPr>
              <w:t>1</w:t>
            </w:r>
          </w:p>
        </w:tc>
      </w:tr>
      <w:tr w:rsidR="000A1B69" w:rsidRPr="00BC1FFB" w:rsidTr="00442C6D">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sidRPr="00BC1FFB">
              <w:rPr>
                <w:rFonts w:eastAsia="Times New Roman" w:cs="Arial"/>
                <w:color w:val="000000"/>
                <w:szCs w:val="24"/>
                <w:lang w:eastAsia="en-GB"/>
              </w:rPr>
              <w:t xml:space="preserve">Business admin &amp; </w:t>
            </w:r>
            <w:proofErr w:type="spellStart"/>
            <w:r w:rsidRPr="00BC1FFB">
              <w:rPr>
                <w:rFonts w:eastAsia="Times New Roman" w:cs="Arial"/>
                <w:color w:val="000000"/>
                <w:szCs w:val="24"/>
                <w:lang w:eastAsia="en-GB"/>
              </w:rPr>
              <w:t>supp</w:t>
            </w:r>
            <w:proofErr w:type="spellEnd"/>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10,300</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5.4</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0A1B69" w:rsidP="00FD61FD">
            <w:pPr>
              <w:rPr>
                <w:rFonts w:eastAsia="Times New Roman" w:cs="Arial"/>
                <w:color w:val="000000"/>
                <w:szCs w:val="24"/>
                <w:lang w:eastAsia="en-GB"/>
              </w:rPr>
            </w:pPr>
            <w:r>
              <w:rPr>
                <w:rFonts w:eastAsia="Times New Roman" w:cs="Arial"/>
                <w:color w:val="000000"/>
                <w:szCs w:val="24"/>
                <w:lang w:eastAsia="en-GB"/>
              </w:rPr>
              <w:t>13,000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22762B" w:rsidP="00FD61FD">
            <w:pPr>
              <w:rPr>
                <w:rFonts w:eastAsia="Times New Roman" w:cs="Arial"/>
                <w:color w:val="000000"/>
                <w:szCs w:val="24"/>
                <w:lang w:eastAsia="en-GB"/>
              </w:rPr>
            </w:pPr>
            <w:r>
              <w:rPr>
                <w:rFonts w:eastAsia="Times New Roman" w:cs="Arial"/>
                <w:color w:val="000000"/>
                <w:szCs w:val="24"/>
                <w:lang w:eastAsia="en-GB"/>
              </w:rPr>
              <w:t>6.7</w:t>
            </w:r>
          </w:p>
        </w:tc>
        <w:tc>
          <w:tcPr>
            <w:tcW w:w="1134" w:type="dxa"/>
            <w:tcBorders>
              <w:top w:val="nil"/>
              <w:left w:val="nil"/>
              <w:bottom w:val="single" w:sz="4" w:space="0" w:color="auto"/>
              <w:right w:val="single" w:sz="4" w:space="0" w:color="auto"/>
            </w:tcBorders>
            <w:shd w:val="clear" w:color="auto" w:fill="auto"/>
            <w:noWrap/>
            <w:vAlign w:val="bottom"/>
          </w:tcPr>
          <w:p w:rsidR="000A1B69" w:rsidRPr="00BC1FFB" w:rsidRDefault="00C617CD" w:rsidP="00BC1FFB">
            <w:pPr>
              <w:jc w:val="right"/>
              <w:rPr>
                <w:rFonts w:eastAsia="Times New Roman" w:cs="Arial"/>
                <w:color w:val="000000"/>
                <w:szCs w:val="24"/>
                <w:lang w:eastAsia="en-GB"/>
              </w:rPr>
            </w:pPr>
            <w:r>
              <w:rPr>
                <w:rFonts w:eastAsia="Times New Roman" w:cs="Arial"/>
                <w:color w:val="000000"/>
                <w:szCs w:val="24"/>
                <w:lang w:eastAsia="en-GB"/>
              </w:rPr>
              <w:t>2,700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F55867" w:rsidP="00BC1FFB">
            <w:pPr>
              <w:jc w:val="right"/>
              <w:rPr>
                <w:rFonts w:eastAsia="Times New Roman" w:cs="Arial"/>
                <w:color w:val="000000"/>
                <w:szCs w:val="24"/>
                <w:lang w:eastAsia="en-GB"/>
              </w:rPr>
            </w:pPr>
            <w:r>
              <w:rPr>
                <w:rFonts w:eastAsia="Times New Roman" w:cs="Arial"/>
                <w:color w:val="000000"/>
                <w:szCs w:val="24"/>
                <w:lang w:eastAsia="en-GB"/>
              </w:rPr>
              <w:t>26</w:t>
            </w:r>
          </w:p>
        </w:tc>
      </w:tr>
      <w:tr w:rsidR="000A1B69" w:rsidRPr="00BC1FFB" w:rsidTr="00442C6D">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sidRPr="00BC1FFB">
              <w:rPr>
                <w:rFonts w:eastAsia="Times New Roman" w:cs="Arial"/>
                <w:color w:val="000000"/>
                <w:szCs w:val="24"/>
                <w:lang w:eastAsia="en-GB"/>
              </w:rPr>
              <w:t xml:space="preserve">Public admin &amp; </w:t>
            </w:r>
            <w:proofErr w:type="spellStart"/>
            <w:r w:rsidRPr="00BC1FFB">
              <w:rPr>
                <w:rFonts w:eastAsia="Times New Roman" w:cs="Arial"/>
                <w:color w:val="000000"/>
                <w:szCs w:val="24"/>
                <w:lang w:eastAsia="en-GB"/>
              </w:rPr>
              <w:t>def</w:t>
            </w:r>
            <w:proofErr w:type="spellEnd"/>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9,500</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5</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0A1B69" w:rsidP="00FD61FD">
            <w:pPr>
              <w:rPr>
                <w:rFonts w:eastAsia="Times New Roman" w:cs="Arial"/>
                <w:color w:val="000000"/>
                <w:szCs w:val="24"/>
                <w:lang w:eastAsia="en-GB"/>
              </w:rPr>
            </w:pPr>
            <w:r>
              <w:rPr>
                <w:rFonts w:eastAsia="Times New Roman" w:cs="Arial"/>
                <w:color w:val="000000"/>
                <w:szCs w:val="24"/>
                <w:lang w:eastAsia="en-GB"/>
              </w:rPr>
              <w:t>9,000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22762B" w:rsidP="00FD61FD">
            <w:pPr>
              <w:rPr>
                <w:rFonts w:eastAsia="Times New Roman" w:cs="Arial"/>
                <w:color w:val="000000"/>
                <w:szCs w:val="24"/>
                <w:lang w:eastAsia="en-GB"/>
              </w:rPr>
            </w:pPr>
            <w:r>
              <w:rPr>
                <w:rFonts w:eastAsia="Times New Roman" w:cs="Arial"/>
                <w:color w:val="000000"/>
                <w:szCs w:val="24"/>
                <w:lang w:eastAsia="en-GB"/>
              </w:rPr>
              <w:t>4.7</w:t>
            </w:r>
          </w:p>
        </w:tc>
        <w:tc>
          <w:tcPr>
            <w:tcW w:w="1134" w:type="dxa"/>
            <w:tcBorders>
              <w:top w:val="nil"/>
              <w:left w:val="nil"/>
              <w:bottom w:val="single" w:sz="4" w:space="0" w:color="auto"/>
              <w:right w:val="single" w:sz="4" w:space="0" w:color="auto"/>
            </w:tcBorders>
            <w:shd w:val="clear" w:color="auto" w:fill="auto"/>
            <w:noWrap/>
            <w:vAlign w:val="bottom"/>
          </w:tcPr>
          <w:p w:rsidR="000A1B69" w:rsidRPr="00BC1FFB" w:rsidRDefault="00F55867" w:rsidP="00BC1FFB">
            <w:pPr>
              <w:jc w:val="right"/>
              <w:rPr>
                <w:rFonts w:eastAsia="Times New Roman" w:cs="Arial"/>
                <w:color w:val="000000"/>
                <w:szCs w:val="24"/>
                <w:lang w:eastAsia="en-GB"/>
              </w:rPr>
            </w:pPr>
            <w:r>
              <w:rPr>
                <w:rFonts w:eastAsia="Times New Roman" w:cs="Arial"/>
                <w:color w:val="000000"/>
                <w:szCs w:val="24"/>
                <w:lang w:eastAsia="en-GB"/>
              </w:rPr>
              <w:t>-500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F55867" w:rsidP="00BC1FFB">
            <w:pPr>
              <w:jc w:val="right"/>
              <w:rPr>
                <w:rFonts w:eastAsia="Times New Roman" w:cs="Arial"/>
                <w:color w:val="000000"/>
                <w:szCs w:val="24"/>
                <w:lang w:eastAsia="en-GB"/>
              </w:rPr>
            </w:pPr>
            <w:r>
              <w:rPr>
                <w:rFonts w:eastAsia="Times New Roman" w:cs="Arial"/>
                <w:color w:val="000000"/>
                <w:szCs w:val="24"/>
                <w:lang w:eastAsia="en-GB"/>
              </w:rPr>
              <w:t>-5</w:t>
            </w:r>
          </w:p>
        </w:tc>
      </w:tr>
      <w:tr w:rsidR="000A1B69" w:rsidRPr="00BC1FFB" w:rsidTr="00442C6D">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sidRPr="00BC1FFB">
              <w:rPr>
                <w:rFonts w:eastAsia="Times New Roman" w:cs="Arial"/>
                <w:color w:val="000000"/>
                <w:szCs w:val="24"/>
                <w:lang w:eastAsia="en-GB"/>
              </w:rPr>
              <w:t>Education</w:t>
            </w:r>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23,000</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12.1</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0A1B69" w:rsidP="00FD61FD">
            <w:pPr>
              <w:rPr>
                <w:rFonts w:eastAsia="Times New Roman" w:cs="Arial"/>
                <w:color w:val="000000"/>
                <w:szCs w:val="24"/>
                <w:lang w:eastAsia="en-GB"/>
              </w:rPr>
            </w:pPr>
            <w:r>
              <w:rPr>
                <w:rFonts w:eastAsia="Times New Roman" w:cs="Arial"/>
                <w:color w:val="000000"/>
                <w:szCs w:val="24"/>
                <w:lang w:eastAsia="en-GB"/>
              </w:rPr>
              <w:t>24,000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FD61FD" w:rsidP="00FD61FD">
            <w:pPr>
              <w:rPr>
                <w:rFonts w:eastAsia="Times New Roman" w:cs="Arial"/>
                <w:color w:val="000000"/>
                <w:szCs w:val="24"/>
                <w:lang w:eastAsia="en-GB"/>
              </w:rPr>
            </w:pPr>
            <w:r>
              <w:rPr>
                <w:rFonts w:eastAsia="Times New Roman" w:cs="Arial"/>
                <w:color w:val="000000"/>
                <w:szCs w:val="24"/>
                <w:lang w:eastAsia="en-GB"/>
              </w:rPr>
              <w:t>12.3</w:t>
            </w:r>
          </w:p>
        </w:tc>
        <w:tc>
          <w:tcPr>
            <w:tcW w:w="1134" w:type="dxa"/>
            <w:tcBorders>
              <w:top w:val="nil"/>
              <w:left w:val="nil"/>
              <w:bottom w:val="single" w:sz="4" w:space="0" w:color="auto"/>
              <w:right w:val="single" w:sz="4" w:space="0" w:color="auto"/>
            </w:tcBorders>
            <w:shd w:val="clear" w:color="auto" w:fill="auto"/>
            <w:noWrap/>
            <w:vAlign w:val="bottom"/>
          </w:tcPr>
          <w:p w:rsidR="000A1B69" w:rsidRPr="00BC1FFB" w:rsidRDefault="00F55867" w:rsidP="00BC1FFB">
            <w:pPr>
              <w:jc w:val="right"/>
              <w:rPr>
                <w:rFonts w:eastAsia="Times New Roman" w:cs="Arial"/>
                <w:color w:val="000000"/>
                <w:szCs w:val="24"/>
                <w:lang w:eastAsia="en-GB"/>
              </w:rPr>
            </w:pPr>
            <w:r>
              <w:rPr>
                <w:rFonts w:eastAsia="Times New Roman" w:cs="Arial"/>
                <w:color w:val="000000"/>
                <w:szCs w:val="24"/>
                <w:lang w:eastAsia="en-GB"/>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F55867" w:rsidP="00BC1FFB">
            <w:pPr>
              <w:jc w:val="right"/>
              <w:rPr>
                <w:rFonts w:eastAsia="Times New Roman" w:cs="Arial"/>
                <w:color w:val="000000"/>
                <w:szCs w:val="24"/>
                <w:lang w:eastAsia="en-GB"/>
              </w:rPr>
            </w:pPr>
            <w:r>
              <w:rPr>
                <w:rFonts w:eastAsia="Times New Roman" w:cs="Arial"/>
                <w:color w:val="000000"/>
                <w:szCs w:val="24"/>
                <w:lang w:eastAsia="en-GB"/>
              </w:rPr>
              <w:t>4</w:t>
            </w:r>
          </w:p>
        </w:tc>
      </w:tr>
      <w:tr w:rsidR="000A1B69" w:rsidRPr="00BC1FFB" w:rsidTr="00442C6D">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sidRPr="00BC1FFB">
              <w:rPr>
                <w:rFonts w:eastAsia="Times New Roman" w:cs="Arial"/>
                <w:color w:val="000000"/>
                <w:szCs w:val="24"/>
                <w:lang w:eastAsia="en-GB"/>
              </w:rPr>
              <w:t>Health</w:t>
            </w:r>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31,400</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16.6</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FD61FD" w:rsidP="00FD61FD">
            <w:pPr>
              <w:rPr>
                <w:rFonts w:eastAsia="Times New Roman" w:cs="Arial"/>
                <w:color w:val="000000"/>
                <w:szCs w:val="24"/>
                <w:lang w:eastAsia="en-GB"/>
              </w:rPr>
            </w:pPr>
            <w:r>
              <w:rPr>
                <w:rFonts w:eastAsia="Times New Roman" w:cs="Arial"/>
                <w:color w:val="000000"/>
                <w:szCs w:val="24"/>
                <w:lang w:eastAsia="en-GB"/>
              </w:rPr>
              <w:t>31,000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FD61FD" w:rsidP="00FD61FD">
            <w:pPr>
              <w:rPr>
                <w:rFonts w:eastAsia="Times New Roman" w:cs="Arial"/>
                <w:color w:val="000000"/>
                <w:szCs w:val="24"/>
                <w:lang w:eastAsia="en-GB"/>
              </w:rPr>
            </w:pPr>
            <w:r>
              <w:rPr>
                <w:rFonts w:eastAsia="Times New Roman" w:cs="Arial"/>
                <w:color w:val="000000"/>
                <w:szCs w:val="24"/>
                <w:lang w:eastAsia="en-GB"/>
              </w:rPr>
              <w:t>16.0</w:t>
            </w:r>
          </w:p>
        </w:tc>
        <w:tc>
          <w:tcPr>
            <w:tcW w:w="1134" w:type="dxa"/>
            <w:tcBorders>
              <w:top w:val="nil"/>
              <w:left w:val="nil"/>
              <w:bottom w:val="single" w:sz="4" w:space="0" w:color="auto"/>
              <w:right w:val="single" w:sz="4" w:space="0" w:color="auto"/>
            </w:tcBorders>
            <w:shd w:val="clear" w:color="auto" w:fill="auto"/>
            <w:noWrap/>
            <w:vAlign w:val="bottom"/>
          </w:tcPr>
          <w:p w:rsidR="000A1B69" w:rsidRPr="00BC1FFB" w:rsidRDefault="00F55867" w:rsidP="00BC1FFB">
            <w:pPr>
              <w:jc w:val="right"/>
              <w:rPr>
                <w:rFonts w:eastAsia="Times New Roman" w:cs="Arial"/>
                <w:color w:val="000000"/>
                <w:szCs w:val="24"/>
                <w:lang w:eastAsia="en-GB"/>
              </w:rPr>
            </w:pPr>
            <w:r>
              <w:rPr>
                <w:rFonts w:eastAsia="Times New Roman" w:cs="Arial"/>
                <w:color w:val="000000"/>
                <w:szCs w:val="24"/>
                <w:lang w:eastAsia="en-GB"/>
              </w:rPr>
              <w:t>-400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F55867" w:rsidP="00BC1FFB">
            <w:pPr>
              <w:jc w:val="right"/>
              <w:rPr>
                <w:rFonts w:eastAsia="Times New Roman" w:cs="Arial"/>
                <w:color w:val="000000"/>
                <w:szCs w:val="24"/>
                <w:lang w:eastAsia="en-GB"/>
              </w:rPr>
            </w:pPr>
            <w:r>
              <w:rPr>
                <w:rFonts w:eastAsia="Times New Roman" w:cs="Arial"/>
                <w:color w:val="000000"/>
                <w:szCs w:val="24"/>
                <w:lang w:eastAsia="en-GB"/>
              </w:rPr>
              <w:t>1</w:t>
            </w:r>
          </w:p>
        </w:tc>
      </w:tr>
      <w:tr w:rsidR="000A1B69" w:rsidRPr="00BC1FFB" w:rsidTr="00442C6D">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sidRPr="00BC1FFB">
              <w:rPr>
                <w:rFonts w:eastAsia="Times New Roman" w:cs="Arial"/>
                <w:color w:val="000000"/>
                <w:szCs w:val="24"/>
                <w:lang w:eastAsia="en-GB"/>
              </w:rPr>
              <w:t>Arts recreation</w:t>
            </w:r>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6,600</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3.5</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0A1B69" w:rsidP="00FD61FD">
            <w:pPr>
              <w:rPr>
                <w:rFonts w:eastAsia="Times New Roman" w:cs="Arial"/>
                <w:color w:val="000000"/>
                <w:szCs w:val="24"/>
                <w:lang w:eastAsia="en-GB"/>
              </w:rPr>
            </w:pPr>
            <w:r>
              <w:rPr>
                <w:rFonts w:eastAsia="Times New Roman" w:cs="Arial"/>
                <w:color w:val="000000"/>
                <w:szCs w:val="24"/>
                <w:lang w:eastAsia="en-GB"/>
              </w:rPr>
              <w:t>6,000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FD61FD" w:rsidP="00FD61FD">
            <w:pPr>
              <w:rPr>
                <w:rFonts w:eastAsia="Times New Roman" w:cs="Arial"/>
                <w:color w:val="000000"/>
                <w:szCs w:val="24"/>
                <w:lang w:eastAsia="en-GB"/>
              </w:rPr>
            </w:pPr>
            <w:r>
              <w:rPr>
                <w:rFonts w:eastAsia="Times New Roman" w:cs="Arial"/>
                <w:color w:val="000000"/>
                <w:szCs w:val="24"/>
                <w:lang w:eastAsia="en-GB"/>
              </w:rPr>
              <w:t>3.1</w:t>
            </w:r>
          </w:p>
        </w:tc>
        <w:tc>
          <w:tcPr>
            <w:tcW w:w="1134" w:type="dxa"/>
            <w:tcBorders>
              <w:top w:val="nil"/>
              <w:left w:val="nil"/>
              <w:bottom w:val="single" w:sz="4" w:space="0" w:color="auto"/>
              <w:right w:val="single" w:sz="4" w:space="0" w:color="auto"/>
            </w:tcBorders>
            <w:shd w:val="clear" w:color="auto" w:fill="auto"/>
            <w:noWrap/>
            <w:vAlign w:val="bottom"/>
          </w:tcPr>
          <w:p w:rsidR="000A1B69" w:rsidRPr="00BC1FFB" w:rsidRDefault="00F55867" w:rsidP="00BC1FFB">
            <w:pPr>
              <w:jc w:val="right"/>
              <w:rPr>
                <w:rFonts w:eastAsia="Times New Roman" w:cs="Arial"/>
                <w:color w:val="000000"/>
                <w:szCs w:val="24"/>
                <w:lang w:eastAsia="en-GB"/>
              </w:rPr>
            </w:pPr>
            <w:r>
              <w:rPr>
                <w:rFonts w:eastAsia="Times New Roman" w:cs="Arial"/>
                <w:color w:val="000000"/>
                <w:szCs w:val="24"/>
                <w:lang w:eastAsia="en-GB"/>
              </w:rPr>
              <w:t>-600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F55867" w:rsidP="00BC1FFB">
            <w:pPr>
              <w:jc w:val="right"/>
              <w:rPr>
                <w:rFonts w:eastAsia="Times New Roman" w:cs="Arial"/>
                <w:color w:val="000000"/>
                <w:szCs w:val="24"/>
                <w:lang w:eastAsia="en-GB"/>
              </w:rPr>
            </w:pPr>
            <w:r>
              <w:rPr>
                <w:rFonts w:eastAsia="Times New Roman" w:cs="Arial"/>
                <w:color w:val="000000"/>
                <w:szCs w:val="24"/>
                <w:lang w:eastAsia="en-GB"/>
              </w:rPr>
              <w:t>-9</w:t>
            </w:r>
          </w:p>
        </w:tc>
      </w:tr>
      <w:tr w:rsidR="000A1B69" w:rsidRPr="00BC1FFB" w:rsidTr="00442C6D">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A1B69" w:rsidRPr="00BC1FFB" w:rsidRDefault="000A1B69" w:rsidP="00BC1FFB">
            <w:pPr>
              <w:rPr>
                <w:rFonts w:eastAsia="Times New Roman" w:cs="Arial"/>
                <w:color w:val="000000"/>
                <w:szCs w:val="24"/>
                <w:lang w:eastAsia="en-GB"/>
              </w:rPr>
            </w:pPr>
            <w:r w:rsidRPr="00BC1FFB">
              <w:rPr>
                <w:rFonts w:eastAsia="Times New Roman" w:cs="Arial"/>
                <w:color w:val="000000"/>
                <w:szCs w:val="24"/>
                <w:lang w:eastAsia="en-GB"/>
              </w:rPr>
              <w:t>All industries</w:t>
            </w:r>
          </w:p>
        </w:tc>
        <w:tc>
          <w:tcPr>
            <w:tcW w:w="112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189,200</w:t>
            </w:r>
          </w:p>
        </w:tc>
        <w:tc>
          <w:tcPr>
            <w:tcW w:w="1003" w:type="dxa"/>
            <w:tcBorders>
              <w:top w:val="nil"/>
              <w:left w:val="nil"/>
              <w:bottom w:val="single" w:sz="4" w:space="0" w:color="auto"/>
              <w:right w:val="single" w:sz="4" w:space="0" w:color="auto"/>
            </w:tcBorders>
            <w:shd w:val="clear" w:color="auto" w:fill="auto"/>
            <w:noWrap/>
            <w:vAlign w:val="bottom"/>
            <w:hideMark/>
          </w:tcPr>
          <w:p w:rsidR="000A1B69" w:rsidRPr="00BC1FFB" w:rsidRDefault="000A1B69" w:rsidP="00FD61FD">
            <w:pPr>
              <w:rPr>
                <w:rFonts w:eastAsia="Times New Roman" w:cs="Arial"/>
                <w:color w:val="000000"/>
                <w:szCs w:val="24"/>
                <w:lang w:eastAsia="en-GB"/>
              </w:rPr>
            </w:pPr>
            <w:r w:rsidRPr="00BC1FFB">
              <w:rPr>
                <w:rFonts w:eastAsia="Times New Roman" w:cs="Arial"/>
                <w:color w:val="000000"/>
                <w:szCs w:val="24"/>
                <w:lang w:eastAsia="en-GB"/>
              </w:rPr>
              <w:t>100</w:t>
            </w:r>
          </w:p>
        </w:tc>
        <w:tc>
          <w:tcPr>
            <w:tcW w:w="1123" w:type="dxa"/>
            <w:tcBorders>
              <w:top w:val="nil"/>
              <w:left w:val="nil"/>
              <w:bottom w:val="single" w:sz="4" w:space="0" w:color="auto"/>
              <w:right w:val="single" w:sz="4" w:space="0" w:color="auto"/>
            </w:tcBorders>
            <w:shd w:val="clear" w:color="auto" w:fill="auto"/>
            <w:noWrap/>
            <w:vAlign w:val="bottom"/>
          </w:tcPr>
          <w:p w:rsidR="000A1B69" w:rsidRPr="00BC1FFB" w:rsidRDefault="00BF5844" w:rsidP="00FD61FD">
            <w:pPr>
              <w:rPr>
                <w:rFonts w:eastAsia="Times New Roman" w:cs="Arial"/>
                <w:color w:val="000000"/>
                <w:szCs w:val="24"/>
                <w:lang w:eastAsia="en-GB"/>
              </w:rPr>
            </w:pPr>
            <w:r>
              <w:rPr>
                <w:rFonts w:eastAsia="Times New Roman" w:cs="Arial"/>
                <w:color w:val="000000"/>
                <w:szCs w:val="24"/>
                <w:lang w:eastAsia="en-GB"/>
              </w:rPr>
              <w:t>193,200</w:t>
            </w:r>
          </w:p>
        </w:tc>
        <w:tc>
          <w:tcPr>
            <w:tcW w:w="1004" w:type="dxa"/>
            <w:tcBorders>
              <w:top w:val="nil"/>
              <w:left w:val="nil"/>
              <w:bottom w:val="single" w:sz="4" w:space="0" w:color="auto"/>
              <w:right w:val="single" w:sz="4" w:space="0" w:color="auto"/>
            </w:tcBorders>
            <w:shd w:val="clear" w:color="auto" w:fill="auto"/>
            <w:noWrap/>
            <w:vAlign w:val="bottom"/>
          </w:tcPr>
          <w:p w:rsidR="000A1B69" w:rsidRPr="00BC1FFB" w:rsidRDefault="00FD61FD" w:rsidP="00FD61FD">
            <w:pPr>
              <w:rPr>
                <w:rFonts w:eastAsia="Times New Roman" w:cs="Arial"/>
                <w:color w:val="000000"/>
                <w:szCs w:val="24"/>
                <w:lang w:eastAsia="en-GB"/>
              </w:rPr>
            </w:pPr>
            <w:r>
              <w:rPr>
                <w:rFonts w:eastAsia="Times New Roman" w:cs="Arial"/>
                <w:color w:val="000000"/>
                <w:szCs w:val="24"/>
                <w:lang w:eastAsia="en-GB"/>
              </w:rPr>
              <w:t>100</w:t>
            </w:r>
          </w:p>
        </w:tc>
        <w:tc>
          <w:tcPr>
            <w:tcW w:w="1134" w:type="dxa"/>
            <w:tcBorders>
              <w:top w:val="nil"/>
              <w:left w:val="nil"/>
              <w:bottom w:val="single" w:sz="4" w:space="0" w:color="auto"/>
              <w:right w:val="single" w:sz="4" w:space="0" w:color="auto"/>
            </w:tcBorders>
            <w:shd w:val="clear" w:color="auto" w:fill="auto"/>
            <w:noWrap/>
            <w:vAlign w:val="bottom"/>
          </w:tcPr>
          <w:p w:rsidR="000A1B69" w:rsidRPr="00BC1FFB" w:rsidRDefault="00F55867" w:rsidP="00BC1FFB">
            <w:pPr>
              <w:jc w:val="right"/>
              <w:rPr>
                <w:rFonts w:eastAsia="Times New Roman" w:cs="Arial"/>
                <w:color w:val="000000"/>
                <w:szCs w:val="24"/>
                <w:lang w:eastAsia="en-GB"/>
              </w:rPr>
            </w:pPr>
            <w:r>
              <w:rPr>
                <w:rFonts w:eastAsia="Times New Roman" w:cs="Arial"/>
                <w:color w:val="000000"/>
                <w:szCs w:val="24"/>
                <w:lang w:eastAsia="en-GB"/>
              </w:rPr>
              <w:t>4,000</w:t>
            </w:r>
          </w:p>
        </w:tc>
        <w:tc>
          <w:tcPr>
            <w:tcW w:w="992" w:type="dxa"/>
            <w:tcBorders>
              <w:top w:val="nil"/>
              <w:left w:val="nil"/>
              <w:bottom w:val="single" w:sz="4" w:space="0" w:color="auto"/>
              <w:right w:val="single" w:sz="4" w:space="0" w:color="auto"/>
            </w:tcBorders>
            <w:shd w:val="clear" w:color="auto" w:fill="auto"/>
            <w:noWrap/>
            <w:vAlign w:val="bottom"/>
            <w:hideMark/>
          </w:tcPr>
          <w:p w:rsidR="000A1B69" w:rsidRPr="00BC1FFB" w:rsidRDefault="00F55867" w:rsidP="00BC1FFB">
            <w:pPr>
              <w:jc w:val="right"/>
              <w:rPr>
                <w:rFonts w:eastAsia="Times New Roman" w:cs="Arial"/>
                <w:color w:val="000000"/>
                <w:szCs w:val="24"/>
                <w:lang w:eastAsia="en-GB"/>
              </w:rPr>
            </w:pPr>
            <w:r>
              <w:rPr>
                <w:rFonts w:eastAsia="Times New Roman" w:cs="Arial"/>
                <w:color w:val="000000"/>
                <w:szCs w:val="24"/>
                <w:lang w:eastAsia="en-GB"/>
              </w:rPr>
              <w:t>2</w:t>
            </w:r>
          </w:p>
        </w:tc>
      </w:tr>
    </w:tbl>
    <w:p w:rsidR="00BC1FFB" w:rsidRPr="00BC1FFB" w:rsidRDefault="00BC1FFB" w:rsidP="00BC1FFB">
      <w:pPr>
        <w:rPr>
          <w:rFonts w:eastAsia="Times New Roman" w:cs="Arial"/>
          <w:i/>
          <w:color w:val="000000"/>
          <w:sz w:val="22"/>
          <w:lang w:eastAsia="en-GB"/>
        </w:rPr>
      </w:pPr>
      <w:r>
        <w:rPr>
          <w:rFonts w:eastAsia="Times New Roman" w:cs="Arial"/>
          <w:i/>
          <w:color w:val="000000"/>
          <w:sz w:val="22"/>
          <w:lang w:eastAsia="en-GB"/>
        </w:rPr>
        <w:t>Source</w:t>
      </w:r>
      <w:r w:rsidRPr="00BC1FFB">
        <w:rPr>
          <w:rFonts w:eastAsia="Times New Roman" w:cs="Arial"/>
          <w:i/>
          <w:color w:val="000000"/>
          <w:sz w:val="22"/>
          <w:lang w:eastAsia="en-GB"/>
        </w:rPr>
        <w:t xml:space="preserve">: Business Register and Employment Survey, </w:t>
      </w:r>
      <w:proofErr w:type="spellStart"/>
      <w:r w:rsidRPr="00BC1FFB">
        <w:rPr>
          <w:rFonts w:eastAsia="Times New Roman" w:cs="Arial"/>
          <w:i/>
          <w:color w:val="000000"/>
          <w:sz w:val="22"/>
          <w:lang w:eastAsia="en-GB"/>
        </w:rPr>
        <w:t>Nomis</w:t>
      </w:r>
      <w:proofErr w:type="spellEnd"/>
    </w:p>
    <w:p w:rsidR="00BC1FFB" w:rsidRDefault="00BC1FFB" w:rsidP="00500D60">
      <w:pPr>
        <w:spacing w:after="120"/>
        <w:rPr>
          <w:rFonts w:cs="Arial"/>
          <w:color w:val="FF0000"/>
          <w:lang w:val="en-US"/>
        </w:rPr>
      </w:pPr>
    </w:p>
    <w:p w:rsidR="009169EA" w:rsidRPr="008F1636" w:rsidRDefault="009169EA" w:rsidP="00500D60">
      <w:pPr>
        <w:spacing w:after="120"/>
        <w:rPr>
          <w:rFonts w:cs="Arial"/>
        </w:rPr>
      </w:pPr>
    </w:p>
    <w:p w:rsidR="009169EA" w:rsidRPr="009169EA" w:rsidRDefault="009169EA" w:rsidP="00E016D0">
      <w:pPr>
        <w:pStyle w:val="Heading1"/>
        <w:ind w:right="-1"/>
      </w:pPr>
      <w:r w:rsidRPr="009169EA">
        <w:lastRenderedPageBreak/>
        <w:t>Manufacturing trends</w:t>
      </w:r>
    </w:p>
    <w:p w:rsidR="009169EA" w:rsidRPr="008F1636" w:rsidRDefault="009169EA" w:rsidP="00500D60">
      <w:pPr>
        <w:spacing w:after="120"/>
        <w:rPr>
          <w:rFonts w:cs="Arial"/>
        </w:rPr>
      </w:pPr>
      <w:r w:rsidRPr="00FE3A38">
        <w:rPr>
          <w:rFonts w:cs="Arial"/>
        </w:rPr>
        <w:t>Manufacturing indust</w:t>
      </w:r>
      <w:r w:rsidR="00DA7662">
        <w:rPr>
          <w:rFonts w:cs="Arial"/>
        </w:rPr>
        <w:t>ries experienced a growth of 700</w:t>
      </w:r>
      <w:r w:rsidRPr="00FE3A38">
        <w:rPr>
          <w:rFonts w:cs="Arial"/>
        </w:rPr>
        <w:t xml:space="preserve"> </w:t>
      </w:r>
      <w:r>
        <w:rPr>
          <w:rFonts w:cs="Arial"/>
        </w:rPr>
        <w:t xml:space="preserve">employee </w:t>
      </w:r>
      <w:r w:rsidRPr="00FE3A38">
        <w:rPr>
          <w:rFonts w:cs="Arial"/>
        </w:rPr>
        <w:t xml:space="preserve">jobs </w:t>
      </w:r>
      <w:r w:rsidR="00DA7662">
        <w:rPr>
          <w:rFonts w:cs="Arial"/>
        </w:rPr>
        <w:t>over the year to 2015.</w:t>
      </w:r>
      <w:r w:rsidR="00B77639">
        <w:rPr>
          <w:rFonts w:cs="Arial"/>
        </w:rPr>
        <w:t xml:space="preserve">.The largest increase in jobs was in the electronics industry with 560 more jobs , the food and drink industry saw an increase of 270 jobs , the textile industry also had an increase of 270 jobs . The sectors with a fall in jobs included </w:t>
      </w:r>
      <w:r w:rsidR="00D4180B">
        <w:rPr>
          <w:rFonts w:cs="Arial"/>
        </w:rPr>
        <w:t>p</w:t>
      </w:r>
      <w:bookmarkStart w:id="0" w:name="_GoBack"/>
      <w:bookmarkEnd w:id="0"/>
      <w:r w:rsidR="00B77639">
        <w:rPr>
          <w:rFonts w:cs="Arial"/>
        </w:rPr>
        <w:t>rinting and publishing (-356) jobs, the manufacture of plastic products (-300) and the manufacture of wood and furniture (-130) jobs.</w:t>
      </w:r>
    </w:p>
    <w:p w:rsidR="009169EA" w:rsidRPr="008F1636" w:rsidRDefault="00B77639" w:rsidP="00500D60">
      <w:pPr>
        <w:spacing w:after="120"/>
        <w:rPr>
          <w:rFonts w:cs="Arial"/>
        </w:rPr>
      </w:pPr>
      <w:r>
        <w:rPr>
          <w:rFonts w:cs="Arial"/>
        </w:rPr>
        <w:t xml:space="preserve">Despite the loss of 700 </w:t>
      </w:r>
      <w:r w:rsidR="009169EA" w:rsidRPr="008F1636">
        <w:rPr>
          <w:rFonts w:cs="Arial"/>
        </w:rPr>
        <w:t xml:space="preserve"> manufact</w:t>
      </w:r>
      <w:r>
        <w:rPr>
          <w:rFonts w:cs="Arial"/>
        </w:rPr>
        <w:t>uring jobs between 2009 and 2015</w:t>
      </w:r>
      <w:r w:rsidR="009169EA" w:rsidRPr="008F1636">
        <w:rPr>
          <w:rFonts w:cs="Arial"/>
        </w:rPr>
        <w:t>,  Bradford still has the third largest number of manufacturing employees of any local authority district in Great Britain.</w:t>
      </w:r>
    </w:p>
    <w:p w:rsidR="009169EA" w:rsidRPr="009169EA" w:rsidRDefault="009169EA" w:rsidP="00E016D0">
      <w:pPr>
        <w:pStyle w:val="Heading1"/>
        <w:ind w:right="-1"/>
      </w:pPr>
      <w:r w:rsidRPr="009169EA">
        <w:t>Earnings</w:t>
      </w:r>
    </w:p>
    <w:p w:rsidR="009169EA" w:rsidRDefault="009169EA" w:rsidP="00500D60">
      <w:pPr>
        <w:spacing w:after="120"/>
        <w:rPr>
          <w:rFonts w:cs="Arial"/>
        </w:rPr>
      </w:pPr>
      <w:r>
        <w:rPr>
          <w:rFonts w:cs="Arial"/>
        </w:rPr>
        <w:t xml:space="preserve">Low skills are reflected in lower than average earnings. </w:t>
      </w:r>
      <w:r w:rsidRPr="00DE1B60">
        <w:rPr>
          <w:rFonts w:cs="Arial"/>
        </w:rPr>
        <w:t>Median weekly full-time earnings fo</w:t>
      </w:r>
      <w:r w:rsidR="009A2764">
        <w:rPr>
          <w:rFonts w:cs="Arial"/>
        </w:rPr>
        <w:t>r Bradford residents are £451.60</w:t>
      </w:r>
      <w:r w:rsidRPr="00DE1B60">
        <w:rPr>
          <w:rFonts w:cs="Arial"/>
        </w:rPr>
        <w:t>, belo</w:t>
      </w:r>
      <w:r w:rsidR="009A2764">
        <w:rPr>
          <w:rFonts w:cs="Arial"/>
        </w:rPr>
        <w:t>w the regional average of £480.50 and the UK average of £529.60</w:t>
      </w:r>
    </w:p>
    <w:p w:rsidR="009169EA" w:rsidRDefault="009169EA" w:rsidP="00500D60">
      <w:pPr>
        <w:spacing w:after="120"/>
        <w:rPr>
          <w:rFonts w:cs="Arial"/>
        </w:rPr>
      </w:pPr>
      <w:r>
        <w:rPr>
          <w:rFonts w:cs="Arial"/>
        </w:rPr>
        <w:t xml:space="preserve">But the gap is narrowing - </w:t>
      </w:r>
      <w:r w:rsidRPr="00DE1B60">
        <w:rPr>
          <w:rFonts w:cs="Arial"/>
        </w:rPr>
        <w:t xml:space="preserve">Since 2010 median earnings have increased by 5.8% which is more than a regional increase of 3.9% and national growth of 3.6%. </w:t>
      </w:r>
    </w:p>
    <w:p w:rsidR="00CF7D88" w:rsidRPr="00CF7D88" w:rsidRDefault="00CF7D88" w:rsidP="00CF7D88">
      <w:pPr>
        <w:spacing w:after="120"/>
        <w:ind w:right="-1"/>
        <w:rPr>
          <w:b/>
          <w:szCs w:val="24"/>
        </w:rPr>
      </w:pPr>
      <w:r w:rsidRPr="00CF7D88">
        <w:rPr>
          <w:b/>
          <w:szCs w:val="24"/>
        </w:rPr>
        <w:t xml:space="preserve">Gross Weekly Pay </w:t>
      </w:r>
    </w:p>
    <w:p w:rsidR="00CF7D88" w:rsidRPr="00DE1B60" w:rsidRDefault="00CF7D88" w:rsidP="00CF7D88">
      <w:pPr>
        <w:spacing w:after="120"/>
        <w:jc w:val="center"/>
        <w:rPr>
          <w:rFonts w:cs="Arial"/>
        </w:rPr>
      </w:pPr>
      <w:r>
        <w:rPr>
          <w:noProof/>
          <w:lang w:eastAsia="en-GB"/>
        </w:rPr>
        <w:drawing>
          <wp:inline distT="0" distB="0" distL="0" distR="0" wp14:anchorId="60FA9ECA" wp14:editId="06BFFCCA">
            <wp:extent cx="5943600" cy="3324860"/>
            <wp:effectExtent l="0" t="0" r="19050" b="279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F7D88" w:rsidRPr="00CF7D88" w:rsidRDefault="00CF7D88" w:rsidP="00CF7D88">
      <w:pPr>
        <w:rPr>
          <w:rFonts w:ascii="Verdana" w:eastAsia="Times New Roman" w:hAnsi="Verdana" w:cs="Arial"/>
          <w:i/>
          <w:color w:val="505050"/>
          <w:sz w:val="22"/>
          <w:lang w:eastAsia="en-GB"/>
        </w:rPr>
      </w:pPr>
      <w:r>
        <w:rPr>
          <w:rFonts w:ascii="Verdana" w:eastAsia="Times New Roman" w:hAnsi="Verdana" w:cs="Arial"/>
          <w:i/>
          <w:color w:val="505050"/>
          <w:sz w:val="20"/>
          <w:szCs w:val="20"/>
          <w:lang w:eastAsia="en-GB"/>
        </w:rPr>
        <w:t xml:space="preserve">    </w:t>
      </w:r>
      <w:r w:rsidRPr="00CF7D88">
        <w:rPr>
          <w:rFonts w:ascii="Verdana" w:eastAsia="Times New Roman" w:hAnsi="Verdana" w:cs="Arial"/>
          <w:i/>
          <w:color w:val="505050"/>
          <w:sz w:val="22"/>
          <w:lang w:eastAsia="en-GB"/>
        </w:rPr>
        <w:t>Source: ONS annual survey of hours and earnings - resident analysis</w:t>
      </w:r>
    </w:p>
    <w:p w:rsidR="009169EA" w:rsidRDefault="009169EA" w:rsidP="00E016D0">
      <w:pPr>
        <w:ind w:right="-1"/>
      </w:pPr>
    </w:p>
    <w:p w:rsidR="009169EA" w:rsidRPr="008F1636" w:rsidRDefault="009169EA" w:rsidP="00500D60">
      <w:pPr>
        <w:spacing w:after="120"/>
        <w:rPr>
          <w:rFonts w:cs="Arial"/>
        </w:rPr>
      </w:pPr>
      <w:r w:rsidRPr="008F1636">
        <w:rPr>
          <w:rFonts w:cs="Arial"/>
        </w:rPr>
        <w:t xml:space="preserve">Wage levels reflect the occupation profile of Bradford’s residents. Bradford has more people than average employed in the lower paid elementary occupations and fewer managers and directors than average. Elementary occupations account for 13.3% of </w:t>
      </w:r>
      <w:r w:rsidR="008F1636" w:rsidRPr="008F1636">
        <w:rPr>
          <w:rFonts w:cs="Arial"/>
        </w:rPr>
        <w:t xml:space="preserve">Bradford’s employed residents. </w:t>
      </w:r>
    </w:p>
    <w:p w:rsidR="009169EA" w:rsidRDefault="009169EA" w:rsidP="00500D60">
      <w:pPr>
        <w:spacing w:after="120"/>
        <w:rPr>
          <w:rFonts w:cs="Arial"/>
        </w:rPr>
      </w:pPr>
      <w:r w:rsidRPr="008F1636">
        <w:rPr>
          <w:rFonts w:cs="Arial"/>
        </w:rPr>
        <w:t>At the other end of the occupation profile there are 18,000 or 8.1% of Bradford’s employed residents who are employed as managers, directors or senior officials. This number has fallen by 3000 or 14% since 2005.</w:t>
      </w:r>
    </w:p>
    <w:p w:rsidR="009169EA" w:rsidRPr="009169EA" w:rsidRDefault="009169EA" w:rsidP="000E22C9">
      <w:pPr>
        <w:pStyle w:val="Heading1"/>
        <w:ind w:right="-1"/>
      </w:pPr>
      <w:r w:rsidRPr="009169EA">
        <w:lastRenderedPageBreak/>
        <w:t>Key challenges</w:t>
      </w:r>
    </w:p>
    <w:p w:rsidR="009169EA" w:rsidRDefault="009169EA" w:rsidP="000E22C9">
      <w:pPr>
        <w:pStyle w:val="ListParagraph"/>
        <w:keepNext/>
        <w:keepLines/>
        <w:numPr>
          <w:ilvl w:val="0"/>
          <w:numId w:val="6"/>
        </w:numPr>
        <w:spacing w:after="120"/>
        <w:ind w:left="357" w:hanging="357"/>
        <w:contextualSpacing w:val="0"/>
        <w:rPr>
          <w:rFonts w:cs="Arial"/>
          <w:color w:val="000000" w:themeColor="text1"/>
        </w:rPr>
      </w:pPr>
      <w:r w:rsidRPr="00E016D0">
        <w:rPr>
          <w:rFonts w:cs="Arial"/>
          <w:color w:val="000000" w:themeColor="text1"/>
        </w:rPr>
        <w:t>Recent employee jobs growth has been weak compared to regional and national comparators. Private employment growth needs t</w:t>
      </w:r>
      <w:r w:rsidR="00E016D0">
        <w:rPr>
          <w:rFonts w:cs="Arial"/>
          <w:color w:val="000000" w:themeColor="text1"/>
        </w:rPr>
        <w:t>o improve to match</w:t>
      </w:r>
      <w:r w:rsidRPr="00E016D0">
        <w:rPr>
          <w:rFonts w:cs="Arial"/>
          <w:color w:val="000000" w:themeColor="text1"/>
        </w:rPr>
        <w:t xml:space="preserve"> city region rates and mitigate continuing public sector job losses. </w:t>
      </w:r>
    </w:p>
    <w:p w:rsidR="009169EA" w:rsidRPr="00E016D0" w:rsidRDefault="009169EA" w:rsidP="000E22C9">
      <w:pPr>
        <w:pStyle w:val="ListParagraph"/>
        <w:keepNext/>
        <w:keepLines/>
        <w:numPr>
          <w:ilvl w:val="0"/>
          <w:numId w:val="6"/>
        </w:numPr>
        <w:spacing w:after="120"/>
        <w:ind w:left="357" w:hanging="357"/>
        <w:contextualSpacing w:val="0"/>
        <w:rPr>
          <w:rFonts w:cs="Arial"/>
          <w:color w:val="000000" w:themeColor="text1"/>
        </w:rPr>
      </w:pPr>
      <w:r w:rsidRPr="00E016D0">
        <w:rPr>
          <w:rFonts w:cs="Arial"/>
          <w:color w:val="000000" w:themeColor="text1"/>
        </w:rPr>
        <w:t xml:space="preserve">The low representation of high value knowledge based industries such as professional and business services is a weakness in the local economy and addressing this is key to moving the District towards a higher value, higher wage economy. </w:t>
      </w:r>
    </w:p>
    <w:p w:rsidR="009169EA" w:rsidRPr="00E016D0" w:rsidRDefault="009169EA" w:rsidP="000E22C9">
      <w:pPr>
        <w:pStyle w:val="ListParagraph"/>
        <w:keepNext/>
        <w:keepLines/>
        <w:numPr>
          <w:ilvl w:val="0"/>
          <w:numId w:val="6"/>
        </w:numPr>
        <w:spacing w:after="120"/>
        <w:ind w:left="357" w:hanging="357"/>
        <w:contextualSpacing w:val="0"/>
        <w:rPr>
          <w:rFonts w:cs="Arial"/>
          <w:color w:val="000000" w:themeColor="text1"/>
        </w:rPr>
      </w:pPr>
      <w:r w:rsidRPr="00E016D0">
        <w:rPr>
          <w:rFonts w:cs="Arial"/>
          <w:color w:val="000000" w:themeColor="text1"/>
        </w:rPr>
        <w:t xml:space="preserve">A growing work age population means an increasing need for job creation. We will need to create an additional 27,000 jobs by 2020 to match the Leeds City Region employment rate.   </w:t>
      </w:r>
    </w:p>
    <w:p w:rsidR="009169EA" w:rsidRPr="00E016D0" w:rsidRDefault="009169EA" w:rsidP="000E22C9">
      <w:pPr>
        <w:pStyle w:val="ListParagraph"/>
        <w:keepNext/>
        <w:keepLines/>
        <w:numPr>
          <w:ilvl w:val="0"/>
          <w:numId w:val="6"/>
        </w:numPr>
        <w:spacing w:after="120"/>
        <w:ind w:left="357" w:hanging="357"/>
        <w:contextualSpacing w:val="0"/>
        <w:rPr>
          <w:rFonts w:cs="Arial"/>
          <w:color w:val="000000" w:themeColor="text1"/>
        </w:rPr>
      </w:pPr>
      <w:r w:rsidRPr="00E016D0">
        <w:rPr>
          <w:rFonts w:cs="Arial"/>
          <w:color w:val="000000" w:themeColor="text1"/>
        </w:rPr>
        <w:t xml:space="preserve">Despite improving skills levels, Bradford residents’ earnings lag regional and national averages. Bradford Residents are less likely to be employed in senior management and professional roles despite being the second strongest economy in the City Region. </w:t>
      </w:r>
    </w:p>
    <w:sectPr w:rsidR="009169EA" w:rsidRPr="00E016D0" w:rsidSect="00856B71">
      <w:type w:val="continuous"/>
      <w:pgSz w:w="11906" w:h="16838"/>
      <w:pgMar w:top="-582" w:right="991" w:bottom="851" w:left="851" w:header="708"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3F" w:rsidRDefault="00215E3F" w:rsidP="006863D0">
      <w:r>
        <w:separator/>
      </w:r>
    </w:p>
  </w:endnote>
  <w:endnote w:type="continuationSeparator" w:id="0">
    <w:p w:rsidR="00215E3F" w:rsidRDefault="00215E3F" w:rsidP="0068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508945"/>
      <w:docPartObj>
        <w:docPartGallery w:val="Page Numbers (Bottom of Page)"/>
        <w:docPartUnique/>
      </w:docPartObj>
    </w:sdtPr>
    <w:sdtEndPr/>
    <w:sdtContent>
      <w:sdt>
        <w:sdtPr>
          <w:id w:val="-1768309132"/>
          <w:docPartObj>
            <w:docPartGallery w:val="Page Numbers (Top of Page)"/>
            <w:docPartUnique/>
          </w:docPartObj>
        </w:sdtPr>
        <w:sdtEndPr/>
        <w:sdtContent>
          <w:p w:rsidR="00215E3F" w:rsidRDefault="00215E3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4180B">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4180B">
              <w:rPr>
                <w:b/>
                <w:bCs/>
                <w:noProof/>
              </w:rPr>
              <w:t>8</w:t>
            </w:r>
            <w:r>
              <w:rPr>
                <w:b/>
                <w:bCs/>
                <w:szCs w:val="24"/>
              </w:rPr>
              <w:fldChar w:fldCharType="end"/>
            </w:r>
          </w:p>
        </w:sdtContent>
      </w:sdt>
    </w:sdtContent>
  </w:sdt>
  <w:p w:rsidR="00215E3F" w:rsidRDefault="00215E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23276"/>
      <w:docPartObj>
        <w:docPartGallery w:val="Page Numbers (Bottom of Page)"/>
        <w:docPartUnique/>
      </w:docPartObj>
    </w:sdtPr>
    <w:sdtEndPr/>
    <w:sdtContent>
      <w:sdt>
        <w:sdtPr>
          <w:id w:val="-1669238322"/>
          <w:docPartObj>
            <w:docPartGallery w:val="Page Numbers (Top of Page)"/>
            <w:docPartUnique/>
          </w:docPartObj>
        </w:sdtPr>
        <w:sdtEndPr/>
        <w:sdtContent>
          <w:p w:rsidR="00215E3F" w:rsidRDefault="00215E3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846DA">
              <w:rPr>
                <w:b/>
                <w:bCs/>
                <w:noProof/>
              </w:rPr>
              <w:t>8</w:t>
            </w:r>
            <w:r>
              <w:rPr>
                <w:b/>
                <w:bCs/>
                <w:szCs w:val="24"/>
              </w:rPr>
              <w:fldChar w:fldCharType="end"/>
            </w:r>
          </w:p>
        </w:sdtContent>
      </w:sdt>
    </w:sdtContent>
  </w:sdt>
  <w:p w:rsidR="00215E3F" w:rsidRPr="0014797B" w:rsidRDefault="00215E3F" w:rsidP="00147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3F" w:rsidRDefault="00215E3F" w:rsidP="006863D0">
      <w:r>
        <w:separator/>
      </w:r>
    </w:p>
  </w:footnote>
  <w:footnote w:type="continuationSeparator" w:id="0">
    <w:p w:rsidR="00215E3F" w:rsidRDefault="00215E3F" w:rsidP="00686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3F" w:rsidRDefault="00215E3F">
    <w:pPr>
      <w:pStyle w:val="Header"/>
    </w:pPr>
  </w:p>
  <w:p w:rsidR="00215E3F" w:rsidRDefault="00215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79BD"/>
    <w:multiLevelType w:val="hybridMultilevel"/>
    <w:tmpl w:val="2E18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7513D6"/>
    <w:multiLevelType w:val="hybridMultilevel"/>
    <w:tmpl w:val="C52A4EDA"/>
    <w:lvl w:ilvl="0" w:tplc="845C5F1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55792F"/>
    <w:multiLevelType w:val="hybridMultilevel"/>
    <w:tmpl w:val="37D2C214"/>
    <w:lvl w:ilvl="0" w:tplc="4A00510E">
      <w:start w:val="1"/>
      <w:numFmt w:val="lowerRoman"/>
      <w:lvlText w:val="%1)"/>
      <w:lvlJc w:val="left"/>
      <w:pPr>
        <w:tabs>
          <w:tab w:val="num" w:pos="720"/>
        </w:tabs>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6711F8"/>
    <w:multiLevelType w:val="hybridMultilevel"/>
    <w:tmpl w:val="05B08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D46DFD"/>
    <w:multiLevelType w:val="hybridMultilevel"/>
    <w:tmpl w:val="9880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9418CE"/>
    <w:multiLevelType w:val="hybridMultilevel"/>
    <w:tmpl w:val="979E0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D0"/>
    <w:rsid w:val="00080009"/>
    <w:rsid w:val="000A1B69"/>
    <w:rsid w:val="000C1BE6"/>
    <w:rsid w:val="000E22C9"/>
    <w:rsid w:val="001006F3"/>
    <w:rsid w:val="001151EA"/>
    <w:rsid w:val="00131F0B"/>
    <w:rsid w:val="0014797B"/>
    <w:rsid w:val="00162A83"/>
    <w:rsid w:val="00176FF3"/>
    <w:rsid w:val="001830C1"/>
    <w:rsid w:val="001D186B"/>
    <w:rsid w:val="001E4886"/>
    <w:rsid w:val="0020361C"/>
    <w:rsid w:val="00215E3F"/>
    <w:rsid w:val="0022762B"/>
    <w:rsid w:val="00255C22"/>
    <w:rsid w:val="00271999"/>
    <w:rsid w:val="0028448E"/>
    <w:rsid w:val="002A346C"/>
    <w:rsid w:val="002F36C6"/>
    <w:rsid w:val="00330D01"/>
    <w:rsid w:val="003447CC"/>
    <w:rsid w:val="0035190D"/>
    <w:rsid w:val="003632A8"/>
    <w:rsid w:val="00383B71"/>
    <w:rsid w:val="003A546A"/>
    <w:rsid w:val="003F6B7C"/>
    <w:rsid w:val="00442C6D"/>
    <w:rsid w:val="00484A05"/>
    <w:rsid w:val="004C5CCA"/>
    <w:rsid w:val="004E41D1"/>
    <w:rsid w:val="004F1573"/>
    <w:rsid w:val="00500D60"/>
    <w:rsid w:val="005435AD"/>
    <w:rsid w:val="00544F70"/>
    <w:rsid w:val="005508BF"/>
    <w:rsid w:val="005664A4"/>
    <w:rsid w:val="005B3401"/>
    <w:rsid w:val="005E6156"/>
    <w:rsid w:val="0061324E"/>
    <w:rsid w:val="00614C19"/>
    <w:rsid w:val="006863D0"/>
    <w:rsid w:val="00686EDC"/>
    <w:rsid w:val="006C2098"/>
    <w:rsid w:val="006D33F7"/>
    <w:rsid w:val="00701863"/>
    <w:rsid w:val="00714616"/>
    <w:rsid w:val="00715FF5"/>
    <w:rsid w:val="00762528"/>
    <w:rsid w:val="007A1DD5"/>
    <w:rsid w:val="007C391E"/>
    <w:rsid w:val="008015ED"/>
    <w:rsid w:val="00856B71"/>
    <w:rsid w:val="008B1D5F"/>
    <w:rsid w:val="008B6BDB"/>
    <w:rsid w:val="008C5F3E"/>
    <w:rsid w:val="008E37BE"/>
    <w:rsid w:val="008F1636"/>
    <w:rsid w:val="00905314"/>
    <w:rsid w:val="00905BCA"/>
    <w:rsid w:val="009127B4"/>
    <w:rsid w:val="009169EA"/>
    <w:rsid w:val="00920C33"/>
    <w:rsid w:val="00956E21"/>
    <w:rsid w:val="00965063"/>
    <w:rsid w:val="009846DA"/>
    <w:rsid w:val="009A2764"/>
    <w:rsid w:val="009C5063"/>
    <w:rsid w:val="009D73B1"/>
    <w:rsid w:val="009E18BC"/>
    <w:rsid w:val="00A15A07"/>
    <w:rsid w:val="00A83D4F"/>
    <w:rsid w:val="00A84577"/>
    <w:rsid w:val="00A86754"/>
    <w:rsid w:val="00AB20A4"/>
    <w:rsid w:val="00AE3812"/>
    <w:rsid w:val="00B030A1"/>
    <w:rsid w:val="00B14426"/>
    <w:rsid w:val="00B16E9A"/>
    <w:rsid w:val="00B541FB"/>
    <w:rsid w:val="00B548E7"/>
    <w:rsid w:val="00B614B3"/>
    <w:rsid w:val="00B727EF"/>
    <w:rsid w:val="00B77639"/>
    <w:rsid w:val="00BA077B"/>
    <w:rsid w:val="00BA4041"/>
    <w:rsid w:val="00BB163C"/>
    <w:rsid w:val="00BC1FFB"/>
    <w:rsid w:val="00BD073A"/>
    <w:rsid w:val="00BE4475"/>
    <w:rsid w:val="00BE744C"/>
    <w:rsid w:val="00BF5508"/>
    <w:rsid w:val="00BF5844"/>
    <w:rsid w:val="00C06B92"/>
    <w:rsid w:val="00C1617A"/>
    <w:rsid w:val="00C617CD"/>
    <w:rsid w:val="00CA49C9"/>
    <w:rsid w:val="00CA54F8"/>
    <w:rsid w:val="00CA6F39"/>
    <w:rsid w:val="00CF75AD"/>
    <w:rsid w:val="00CF7D88"/>
    <w:rsid w:val="00D4180B"/>
    <w:rsid w:val="00D6213E"/>
    <w:rsid w:val="00D97E43"/>
    <w:rsid w:val="00DA7662"/>
    <w:rsid w:val="00DF2CD4"/>
    <w:rsid w:val="00E016D0"/>
    <w:rsid w:val="00E0230B"/>
    <w:rsid w:val="00E1226B"/>
    <w:rsid w:val="00E13DF6"/>
    <w:rsid w:val="00E420D2"/>
    <w:rsid w:val="00E96835"/>
    <w:rsid w:val="00ED0484"/>
    <w:rsid w:val="00F02BAD"/>
    <w:rsid w:val="00F14ACD"/>
    <w:rsid w:val="00F20A8C"/>
    <w:rsid w:val="00F2216A"/>
    <w:rsid w:val="00F22D5C"/>
    <w:rsid w:val="00F55867"/>
    <w:rsid w:val="00F819BA"/>
    <w:rsid w:val="00F86A02"/>
    <w:rsid w:val="00F95879"/>
    <w:rsid w:val="00FD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0B"/>
    <w:rPr>
      <w:rFonts w:ascii="Arial" w:hAnsi="Arial"/>
      <w:sz w:val="24"/>
    </w:rPr>
  </w:style>
  <w:style w:type="paragraph" w:styleId="Heading1">
    <w:name w:val="heading 1"/>
    <w:basedOn w:val="Normal"/>
    <w:next w:val="Normal"/>
    <w:link w:val="Heading1Char"/>
    <w:uiPriority w:val="9"/>
    <w:qFormat/>
    <w:rsid w:val="00E96835"/>
    <w:pPr>
      <w:keepNext/>
      <w:keepLines/>
      <w:outlineLvl w:val="0"/>
    </w:pPr>
    <w:rPr>
      <w:rFonts w:eastAsiaTheme="majorEastAsia"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1226B"/>
    <w:pPr>
      <w:keepNext/>
      <w:keepLines/>
      <w:spacing w:before="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1226B"/>
    <w:pPr>
      <w:keepNext/>
      <w:keepLines/>
      <w:spacing w:before="20"/>
      <w:outlineLvl w:val="2"/>
    </w:pPr>
    <w:rPr>
      <w:rFonts w:asciiTheme="majorHAnsi" w:eastAsiaTheme="majorEastAsia" w:hAnsiTheme="majorHAnsi" w:cstheme="majorBidi"/>
      <w:bCs/>
      <w:color w:val="1F497D" w:themeColor="text2"/>
      <w:spacing w:val="14"/>
    </w:rPr>
  </w:style>
  <w:style w:type="paragraph" w:styleId="Heading4">
    <w:name w:val="heading 4"/>
    <w:basedOn w:val="Normal"/>
    <w:next w:val="Normal"/>
    <w:link w:val="Heading4Char"/>
    <w:uiPriority w:val="9"/>
    <w:semiHidden/>
    <w:unhideWhenUsed/>
    <w:qFormat/>
    <w:rsid w:val="00E1226B"/>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E1226B"/>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1226B"/>
    <w:pPr>
      <w:keepNext/>
      <w:keepLines/>
      <w:spacing w:before="20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1226B"/>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1226B"/>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226B"/>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63D0"/>
    <w:pPr>
      <w:tabs>
        <w:tab w:val="center" w:pos="4513"/>
        <w:tab w:val="right" w:pos="9026"/>
      </w:tabs>
    </w:pPr>
  </w:style>
  <w:style w:type="character" w:customStyle="1" w:styleId="HeaderChar">
    <w:name w:val="Header Char"/>
    <w:basedOn w:val="DefaultParagraphFont"/>
    <w:link w:val="Header"/>
    <w:uiPriority w:val="99"/>
    <w:rsid w:val="006863D0"/>
  </w:style>
  <w:style w:type="paragraph" w:styleId="Footer">
    <w:name w:val="footer"/>
    <w:basedOn w:val="Normal"/>
    <w:link w:val="FooterChar"/>
    <w:uiPriority w:val="99"/>
    <w:unhideWhenUsed/>
    <w:rsid w:val="006863D0"/>
    <w:pPr>
      <w:tabs>
        <w:tab w:val="center" w:pos="4513"/>
        <w:tab w:val="right" w:pos="9026"/>
      </w:tabs>
    </w:pPr>
  </w:style>
  <w:style w:type="character" w:customStyle="1" w:styleId="FooterChar">
    <w:name w:val="Footer Char"/>
    <w:basedOn w:val="DefaultParagraphFont"/>
    <w:link w:val="Footer"/>
    <w:uiPriority w:val="99"/>
    <w:rsid w:val="006863D0"/>
  </w:style>
  <w:style w:type="paragraph" w:styleId="BalloonText">
    <w:name w:val="Balloon Text"/>
    <w:basedOn w:val="Normal"/>
    <w:link w:val="BalloonTextChar"/>
    <w:uiPriority w:val="99"/>
    <w:semiHidden/>
    <w:unhideWhenUsed/>
    <w:rsid w:val="006863D0"/>
    <w:rPr>
      <w:rFonts w:ascii="Tahoma" w:hAnsi="Tahoma" w:cs="Tahoma"/>
      <w:sz w:val="16"/>
      <w:szCs w:val="16"/>
    </w:rPr>
  </w:style>
  <w:style w:type="character" w:customStyle="1" w:styleId="BalloonTextChar">
    <w:name w:val="Balloon Text Char"/>
    <w:basedOn w:val="DefaultParagraphFont"/>
    <w:link w:val="BalloonText"/>
    <w:uiPriority w:val="99"/>
    <w:semiHidden/>
    <w:rsid w:val="006863D0"/>
    <w:rPr>
      <w:rFonts w:ascii="Tahoma" w:hAnsi="Tahoma" w:cs="Tahoma"/>
      <w:sz w:val="16"/>
      <w:szCs w:val="16"/>
    </w:rPr>
  </w:style>
  <w:style w:type="character" w:styleId="Hyperlink">
    <w:name w:val="Hyperlink"/>
    <w:basedOn w:val="DefaultParagraphFont"/>
    <w:uiPriority w:val="99"/>
    <w:unhideWhenUsed/>
    <w:rsid w:val="003447CC"/>
    <w:rPr>
      <w:color w:val="0000FF" w:themeColor="hyperlink"/>
      <w:u w:val="single"/>
    </w:rPr>
  </w:style>
  <w:style w:type="paragraph" w:styleId="ListParagraph">
    <w:name w:val="List Paragraph"/>
    <w:basedOn w:val="Normal"/>
    <w:uiPriority w:val="99"/>
    <w:qFormat/>
    <w:rsid w:val="00E1226B"/>
    <w:pPr>
      <w:ind w:left="720" w:hanging="288"/>
      <w:contextualSpacing/>
    </w:pPr>
    <w:rPr>
      <w:color w:val="1F497D" w:themeColor="text2"/>
    </w:rPr>
  </w:style>
  <w:style w:type="paragraph" w:styleId="Title">
    <w:name w:val="Title"/>
    <w:basedOn w:val="Normal"/>
    <w:next w:val="Normal"/>
    <w:link w:val="TitleChar"/>
    <w:qFormat/>
    <w:rsid w:val="00E96835"/>
    <w:pPr>
      <w:spacing w:after="120"/>
      <w:contextualSpacing/>
    </w:pPr>
    <w:rPr>
      <w:rFonts w:eastAsiaTheme="majorEastAsia" w:cstheme="majorBidi"/>
      <w:color w:val="1F497D" w:themeColor="text2"/>
      <w:spacing w:val="30"/>
      <w:kern w:val="28"/>
      <w:sz w:val="96"/>
      <w:szCs w:val="52"/>
    </w:rPr>
  </w:style>
  <w:style w:type="character" w:customStyle="1" w:styleId="TitleChar">
    <w:name w:val="Title Char"/>
    <w:basedOn w:val="DefaultParagraphFont"/>
    <w:link w:val="Title"/>
    <w:uiPriority w:val="10"/>
    <w:rsid w:val="00E96835"/>
    <w:rPr>
      <w:rFonts w:ascii="Arial" w:eastAsiaTheme="majorEastAsia" w:hAnsi="Arial"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E96835"/>
    <w:rPr>
      <w:rFonts w:ascii="Arial" w:eastAsiaTheme="majorEastAsia" w:hAnsi="Arial"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1226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1226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1226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1226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1226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1226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226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B14426"/>
    <w:rPr>
      <w:rFonts w:eastAsiaTheme="minorEastAsia"/>
      <w:bCs/>
      <w:spacing w:val="6"/>
      <w:sz w:val="22"/>
      <w:szCs w:val="18"/>
      <w:lang w:bidi="hi-IN"/>
    </w:rPr>
  </w:style>
  <w:style w:type="paragraph" w:styleId="Subtitle">
    <w:name w:val="Subtitle"/>
    <w:basedOn w:val="Normal"/>
    <w:next w:val="Normal"/>
    <w:link w:val="SubtitleChar"/>
    <w:uiPriority w:val="11"/>
    <w:qFormat/>
    <w:rsid w:val="00E1226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1226B"/>
    <w:rPr>
      <w:rFonts w:eastAsiaTheme="majorEastAsia" w:cstheme="majorBidi"/>
      <w:iCs/>
      <w:color w:val="1F497D" w:themeColor="text2"/>
      <w:sz w:val="40"/>
      <w:szCs w:val="24"/>
      <w:lang w:bidi="hi-IN"/>
    </w:rPr>
  </w:style>
  <w:style w:type="character" w:styleId="Strong">
    <w:name w:val="Strong"/>
    <w:basedOn w:val="DefaultParagraphFont"/>
    <w:qFormat/>
    <w:rsid w:val="00E1226B"/>
    <w:rPr>
      <w:b w:val="0"/>
      <w:bCs/>
      <w:i/>
      <w:color w:val="1F497D" w:themeColor="text2"/>
    </w:rPr>
  </w:style>
  <w:style w:type="character" w:styleId="Emphasis">
    <w:name w:val="Emphasis"/>
    <w:basedOn w:val="DefaultParagraphFont"/>
    <w:uiPriority w:val="20"/>
    <w:qFormat/>
    <w:rsid w:val="00E1226B"/>
    <w:rPr>
      <w:b/>
      <w:i/>
      <w:iCs/>
    </w:rPr>
  </w:style>
  <w:style w:type="paragraph" w:styleId="NoSpacing">
    <w:name w:val="No Spacing"/>
    <w:link w:val="NoSpacingChar"/>
    <w:uiPriority w:val="1"/>
    <w:qFormat/>
    <w:rsid w:val="00E1226B"/>
  </w:style>
  <w:style w:type="character" w:customStyle="1" w:styleId="NoSpacingChar">
    <w:name w:val="No Spacing Char"/>
    <w:basedOn w:val="DefaultParagraphFont"/>
    <w:link w:val="NoSpacing"/>
    <w:uiPriority w:val="1"/>
    <w:rsid w:val="00E1226B"/>
  </w:style>
  <w:style w:type="paragraph" w:styleId="Quote">
    <w:name w:val="Quote"/>
    <w:basedOn w:val="Normal"/>
    <w:next w:val="Normal"/>
    <w:link w:val="QuoteChar"/>
    <w:uiPriority w:val="29"/>
    <w:qFormat/>
    <w:rsid w:val="00E1226B"/>
    <w:pPr>
      <w:spacing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1226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1226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1226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1226B"/>
    <w:rPr>
      <w:i/>
      <w:iCs/>
      <w:color w:val="000000"/>
    </w:rPr>
  </w:style>
  <w:style w:type="character" w:styleId="IntenseEmphasis">
    <w:name w:val="Intense Emphasis"/>
    <w:basedOn w:val="DefaultParagraphFont"/>
    <w:uiPriority w:val="21"/>
    <w:qFormat/>
    <w:rsid w:val="00E1226B"/>
    <w:rPr>
      <w:b/>
      <w:bCs/>
      <w:i/>
      <w:iCs/>
      <w:color w:val="4F81BD" w:themeColor="accent1"/>
    </w:rPr>
  </w:style>
  <w:style w:type="character" w:styleId="SubtleReference">
    <w:name w:val="Subtle Reference"/>
    <w:basedOn w:val="DefaultParagraphFont"/>
    <w:uiPriority w:val="31"/>
    <w:qFormat/>
    <w:rsid w:val="00E1226B"/>
    <w:rPr>
      <w:smallCaps/>
      <w:color w:val="000000"/>
      <w:u w:val="single"/>
    </w:rPr>
  </w:style>
  <w:style w:type="character" w:styleId="IntenseReference">
    <w:name w:val="Intense Reference"/>
    <w:basedOn w:val="DefaultParagraphFont"/>
    <w:uiPriority w:val="32"/>
    <w:qFormat/>
    <w:rsid w:val="00E1226B"/>
    <w:rPr>
      <w:b w:val="0"/>
      <w:bCs/>
      <w:smallCaps/>
      <w:color w:val="4F81BD" w:themeColor="accent1"/>
      <w:spacing w:val="5"/>
      <w:u w:val="single"/>
    </w:rPr>
  </w:style>
  <w:style w:type="character" w:styleId="BookTitle">
    <w:name w:val="Book Title"/>
    <w:basedOn w:val="DefaultParagraphFont"/>
    <w:uiPriority w:val="33"/>
    <w:qFormat/>
    <w:rsid w:val="00E1226B"/>
    <w:rPr>
      <w:b/>
      <w:bCs/>
      <w:caps/>
      <w:smallCaps w:val="0"/>
      <w:color w:val="1F497D" w:themeColor="text2"/>
      <w:spacing w:val="10"/>
    </w:rPr>
  </w:style>
  <w:style w:type="paragraph" w:styleId="TOCHeading">
    <w:name w:val="TOC Heading"/>
    <w:basedOn w:val="Heading1"/>
    <w:next w:val="Normal"/>
    <w:uiPriority w:val="39"/>
    <w:semiHidden/>
    <w:unhideWhenUsed/>
    <w:qFormat/>
    <w:rsid w:val="00E1226B"/>
    <w:pPr>
      <w:spacing w:before="480" w:line="264" w:lineRule="auto"/>
      <w:outlineLvl w:val="9"/>
    </w:pPr>
    <w:rPr>
      <w:b/>
    </w:rPr>
  </w:style>
  <w:style w:type="paragraph" w:customStyle="1" w:styleId="Default">
    <w:name w:val="Default"/>
    <w:rsid w:val="009169EA"/>
    <w:pPr>
      <w:autoSpaceDE w:val="0"/>
      <w:autoSpaceDN w:val="0"/>
      <w:adjustRightInd w:val="0"/>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0B"/>
    <w:rPr>
      <w:rFonts w:ascii="Arial" w:hAnsi="Arial"/>
      <w:sz w:val="24"/>
    </w:rPr>
  </w:style>
  <w:style w:type="paragraph" w:styleId="Heading1">
    <w:name w:val="heading 1"/>
    <w:basedOn w:val="Normal"/>
    <w:next w:val="Normal"/>
    <w:link w:val="Heading1Char"/>
    <w:uiPriority w:val="9"/>
    <w:qFormat/>
    <w:rsid w:val="00E96835"/>
    <w:pPr>
      <w:keepNext/>
      <w:keepLines/>
      <w:outlineLvl w:val="0"/>
    </w:pPr>
    <w:rPr>
      <w:rFonts w:eastAsiaTheme="majorEastAsia"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1226B"/>
    <w:pPr>
      <w:keepNext/>
      <w:keepLines/>
      <w:spacing w:before="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1226B"/>
    <w:pPr>
      <w:keepNext/>
      <w:keepLines/>
      <w:spacing w:before="20"/>
      <w:outlineLvl w:val="2"/>
    </w:pPr>
    <w:rPr>
      <w:rFonts w:asciiTheme="majorHAnsi" w:eastAsiaTheme="majorEastAsia" w:hAnsiTheme="majorHAnsi" w:cstheme="majorBidi"/>
      <w:bCs/>
      <w:color w:val="1F497D" w:themeColor="text2"/>
      <w:spacing w:val="14"/>
    </w:rPr>
  </w:style>
  <w:style w:type="paragraph" w:styleId="Heading4">
    <w:name w:val="heading 4"/>
    <w:basedOn w:val="Normal"/>
    <w:next w:val="Normal"/>
    <w:link w:val="Heading4Char"/>
    <w:uiPriority w:val="9"/>
    <w:semiHidden/>
    <w:unhideWhenUsed/>
    <w:qFormat/>
    <w:rsid w:val="00E1226B"/>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E1226B"/>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1226B"/>
    <w:pPr>
      <w:keepNext/>
      <w:keepLines/>
      <w:spacing w:before="20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1226B"/>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1226B"/>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226B"/>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63D0"/>
    <w:pPr>
      <w:tabs>
        <w:tab w:val="center" w:pos="4513"/>
        <w:tab w:val="right" w:pos="9026"/>
      </w:tabs>
    </w:pPr>
  </w:style>
  <w:style w:type="character" w:customStyle="1" w:styleId="HeaderChar">
    <w:name w:val="Header Char"/>
    <w:basedOn w:val="DefaultParagraphFont"/>
    <w:link w:val="Header"/>
    <w:uiPriority w:val="99"/>
    <w:rsid w:val="006863D0"/>
  </w:style>
  <w:style w:type="paragraph" w:styleId="Footer">
    <w:name w:val="footer"/>
    <w:basedOn w:val="Normal"/>
    <w:link w:val="FooterChar"/>
    <w:uiPriority w:val="99"/>
    <w:unhideWhenUsed/>
    <w:rsid w:val="006863D0"/>
    <w:pPr>
      <w:tabs>
        <w:tab w:val="center" w:pos="4513"/>
        <w:tab w:val="right" w:pos="9026"/>
      </w:tabs>
    </w:pPr>
  </w:style>
  <w:style w:type="character" w:customStyle="1" w:styleId="FooterChar">
    <w:name w:val="Footer Char"/>
    <w:basedOn w:val="DefaultParagraphFont"/>
    <w:link w:val="Footer"/>
    <w:uiPriority w:val="99"/>
    <w:rsid w:val="006863D0"/>
  </w:style>
  <w:style w:type="paragraph" w:styleId="BalloonText">
    <w:name w:val="Balloon Text"/>
    <w:basedOn w:val="Normal"/>
    <w:link w:val="BalloonTextChar"/>
    <w:uiPriority w:val="99"/>
    <w:semiHidden/>
    <w:unhideWhenUsed/>
    <w:rsid w:val="006863D0"/>
    <w:rPr>
      <w:rFonts w:ascii="Tahoma" w:hAnsi="Tahoma" w:cs="Tahoma"/>
      <w:sz w:val="16"/>
      <w:szCs w:val="16"/>
    </w:rPr>
  </w:style>
  <w:style w:type="character" w:customStyle="1" w:styleId="BalloonTextChar">
    <w:name w:val="Balloon Text Char"/>
    <w:basedOn w:val="DefaultParagraphFont"/>
    <w:link w:val="BalloonText"/>
    <w:uiPriority w:val="99"/>
    <w:semiHidden/>
    <w:rsid w:val="006863D0"/>
    <w:rPr>
      <w:rFonts w:ascii="Tahoma" w:hAnsi="Tahoma" w:cs="Tahoma"/>
      <w:sz w:val="16"/>
      <w:szCs w:val="16"/>
    </w:rPr>
  </w:style>
  <w:style w:type="character" w:styleId="Hyperlink">
    <w:name w:val="Hyperlink"/>
    <w:basedOn w:val="DefaultParagraphFont"/>
    <w:uiPriority w:val="99"/>
    <w:unhideWhenUsed/>
    <w:rsid w:val="003447CC"/>
    <w:rPr>
      <w:color w:val="0000FF" w:themeColor="hyperlink"/>
      <w:u w:val="single"/>
    </w:rPr>
  </w:style>
  <w:style w:type="paragraph" w:styleId="ListParagraph">
    <w:name w:val="List Paragraph"/>
    <w:basedOn w:val="Normal"/>
    <w:uiPriority w:val="99"/>
    <w:qFormat/>
    <w:rsid w:val="00E1226B"/>
    <w:pPr>
      <w:ind w:left="720" w:hanging="288"/>
      <w:contextualSpacing/>
    </w:pPr>
    <w:rPr>
      <w:color w:val="1F497D" w:themeColor="text2"/>
    </w:rPr>
  </w:style>
  <w:style w:type="paragraph" w:styleId="Title">
    <w:name w:val="Title"/>
    <w:basedOn w:val="Normal"/>
    <w:next w:val="Normal"/>
    <w:link w:val="TitleChar"/>
    <w:qFormat/>
    <w:rsid w:val="00E96835"/>
    <w:pPr>
      <w:spacing w:after="120"/>
      <w:contextualSpacing/>
    </w:pPr>
    <w:rPr>
      <w:rFonts w:eastAsiaTheme="majorEastAsia" w:cstheme="majorBidi"/>
      <w:color w:val="1F497D" w:themeColor="text2"/>
      <w:spacing w:val="30"/>
      <w:kern w:val="28"/>
      <w:sz w:val="96"/>
      <w:szCs w:val="52"/>
    </w:rPr>
  </w:style>
  <w:style w:type="character" w:customStyle="1" w:styleId="TitleChar">
    <w:name w:val="Title Char"/>
    <w:basedOn w:val="DefaultParagraphFont"/>
    <w:link w:val="Title"/>
    <w:uiPriority w:val="10"/>
    <w:rsid w:val="00E96835"/>
    <w:rPr>
      <w:rFonts w:ascii="Arial" w:eastAsiaTheme="majorEastAsia" w:hAnsi="Arial"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E96835"/>
    <w:rPr>
      <w:rFonts w:ascii="Arial" w:eastAsiaTheme="majorEastAsia" w:hAnsi="Arial"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1226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1226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1226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1226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1226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1226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226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B14426"/>
    <w:rPr>
      <w:rFonts w:eastAsiaTheme="minorEastAsia"/>
      <w:bCs/>
      <w:spacing w:val="6"/>
      <w:sz w:val="22"/>
      <w:szCs w:val="18"/>
      <w:lang w:bidi="hi-IN"/>
    </w:rPr>
  </w:style>
  <w:style w:type="paragraph" w:styleId="Subtitle">
    <w:name w:val="Subtitle"/>
    <w:basedOn w:val="Normal"/>
    <w:next w:val="Normal"/>
    <w:link w:val="SubtitleChar"/>
    <w:uiPriority w:val="11"/>
    <w:qFormat/>
    <w:rsid w:val="00E1226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1226B"/>
    <w:rPr>
      <w:rFonts w:eastAsiaTheme="majorEastAsia" w:cstheme="majorBidi"/>
      <w:iCs/>
      <w:color w:val="1F497D" w:themeColor="text2"/>
      <w:sz w:val="40"/>
      <w:szCs w:val="24"/>
      <w:lang w:bidi="hi-IN"/>
    </w:rPr>
  </w:style>
  <w:style w:type="character" w:styleId="Strong">
    <w:name w:val="Strong"/>
    <w:basedOn w:val="DefaultParagraphFont"/>
    <w:qFormat/>
    <w:rsid w:val="00E1226B"/>
    <w:rPr>
      <w:b w:val="0"/>
      <w:bCs/>
      <w:i/>
      <w:color w:val="1F497D" w:themeColor="text2"/>
    </w:rPr>
  </w:style>
  <w:style w:type="character" w:styleId="Emphasis">
    <w:name w:val="Emphasis"/>
    <w:basedOn w:val="DefaultParagraphFont"/>
    <w:uiPriority w:val="20"/>
    <w:qFormat/>
    <w:rsid w:val="00E1226B"/>
    <w:rPr>
      <w:b/>
      <w:i/>
      <w:iCs/>
    </w:rPr>
  </w:style>
  <w:style w:type="paragraph" w:styleId="NoSpacing">
    <w:name w:val="No Spacing"/>
    <w:link w:val="NoSpacingChar"/>
    <w:uiPriority w:val="1"/>
    <w:qFormat/>
    <w:rsid w:val="00E1226B"/>
  </w:style>
  <w:style w:type="character" w:customStyle="1" w:styleId="NoSpacingChar">
    <w:name w:val="No Spacing Char"/>
    <w:basedOn w:val="DefaultParagraphFont"/>
    <w:link w:val="NoSpacing"/>
    <w:uiPriority w:val="1"/>
    <w:rsid w:val="00E1226B"/>
  </w:style>
  <w:style w:type="paragraph" w:styleId="Quote">
    <w:name w:val="Quote"/>
    <w:basedOn w:val="Normal"/>
    <w:next w:val="Normal"/>
    <w:link w:val="QuoteChar"/>
    <w:uiPriority w:val="29"/>
    <w:qFormat/>
    <w:rsid w:val="00E1226B"/>
    <w:pPr>
      <w:spacing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1226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1226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1226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1226B"/>
    <w:rPr>
      <w:i/>
      <w:iCs/>
      <w:color w:val="000000"/>
    </w:rPr>
  </w:style>
  <w:style w:type="character" w:styleId="IntenseEmphasis">
    <w:name w:val="Intense Emphasis"/>
    <w:basedOn w:val="DefaultParagraphFont"/>
    <w:uiPriority w:val="21"/>
    <w:qFormat/>
    <w:rsid w:val="00E1226B"/>
    <w:rPr>
      <w:b/>
      <w:bCs/>
      <w:i/>
      <w:iCs/>
      <w:color w:val="4F81BD" w:themeColor="accent1"/>
    </w:rPr>
  </w:style>
  <w:style w:type="character" w:styleId="SubtleReference">
    <w:name w:val="Subtle Reference"/>
    <w:basedOn w:val="DefaultParagraphFont"/>
    <w:uiPriority w:val="31"/>
    <w:qFormat/>
    <w:rsid w:val="00E1226B"/>
    <w:rPr>
      <w:smallCaps/>
      <w:color w:val="000000"/>
      <w:u w:val="single"/>
    </w:rPr>
  </w:style>
  <w:style w:type="character" w:styleId="IntenseReference">
    <w:name w:val="Intense Reference"/>
    <w:basedOn w:val="DefaultParagraphFont"/>
    <w:uiPriority w:val="32"/>
    <w:qFormat/>
    <w:rsid w:val="00E1226B"/>
    <w:rPr>
      <w:b w:val="0"/>
      <w:bCs/>
      <w:smallCaps/>
      <w:color w:val="4F81BD" w:themeColor="accent1"/>
      <w:spacing w:val="5"/>
      <w:u w:val="single"/>
    </w:rPr>
  </w:style>
  <w:style w:type="character" w:styleId="BookTitle">
    <w:name w:val="Book Title"/>
    <w:basedOn w:val="DefaultParagraphFont"/>
    <w:uiPriority w:val="33"/>
    <w:qFormat/>
    <w:rsid w:val="00E1226B"/>
    <w:rPr>
      <w:b/>
      <w:bCs/>
      <w:caps/>
      <w:smallCaps w:val="0"/>
      <w:color w:val="1F497D" w:themeColor="text2"/>
      <w:spacing w:val="10"/>
    </w:rPr>
  </w:style>
  <w:style w:type="paragraph" w:styleId="TOCHeading">
    <w:name w:val="TOC Heading"/>
    <w:basedOn w:val="Heading1"/>
    <w:next w:val="Normal"/>
    <w:uiPriority w:val="39"/>
    <w:semiHidden/>
    <w:unhideWhenUsed/>
    <w:qFormat/>
    <w:rsid w:val="00E1226B"/>
    <w:pPr>
      <w:spacing w:before="480" w:line="264" w:lineRule="auto"/>
      <w:outlineLvl w:val="9"/>
    </w:pPr>
    <w:rPr>
      <w:b/>
    </w:rPr>
  </w:style>
  <w:style w:type="paragraph" w:customStyle="1" w:styleId="Default">
    <w:name w:val="Default"/>
    <w:rsid w:val="009169EA"/>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52279">
      <w:bodyDiv w:val="1"/>
      <w:marLeft w:val="0"/>
      <w:marRight w:val="0"/>
      <w:marTop w:val="0"/>
      <w:marBottom w:val="0"/>
      <w:divBdr>
        <w:top w:val="none" w:sz="0" w:space="0" w:color="auto"/>
        <w:left w:val="none" w:sz="0" w:space="0" w:color="auto"/>
        <w:bottom w:val="none" w:sz="0" w:space="0" w:color="auto"/>
        <w:right w:val="none" w:sz="0" w:space="0" w:color="auto"/>
      </w:divBdr>
    </w:div>
    <w:div w:id="580063989">
      <w:bodyDiv w:val="1"/>
      <w:marLeft w:val="0"/>
      <w:marRight w:val="0"/>
      <w:marTop w:val="0"/>
      <w:marBottom w:val="0"/>
      <w:divBdr>
        <w:top w:val="none" w:sz="0" w:space="0" w:color="auto"/>
        <w:left w:val="none" w:sz="0" w:space="0" w:color="auto"/>
        <w:bottom w:val="none" w:sz="0" w:space="0" w:color="auto"/>
        <w:right w:val="none" w:sz="0" w:space="0" w:color="auto"/>
      </w:divBdr>
    </w:div>
    <w:div w:id="666983511">
      <w:bodyDiv w:val="1"/>
      <w:marLeft w:val="0"/>
      <w:marRight w:val="0"/>
      <w:marTop w:val="0"/>
      <w:marBottom w:val="0"/>
      <w:divBdr>
        <w:top w:val="none" w:sz="0" w:space="0" w:color="auto"/>
        <w:left w:val="none" w:sz="0" w:space="0" w:color="auto"/>
        <w:bottom w:val="none" w:sz="0" w:space="0" w:color="auto"/>
        <w:right w:val="none" w:sz="0" w:space="0" w:color="auto"/>
      </w:divBdr>
    </w:div>
    <w:div w:id="769203504">
      <w:bodyDiv w:val="1"/>
      <w:marLeft w:val="0"/>
      <w:marRight w:val="0"/>
      <w:marTop w:val="0"/>
      <w:marBottom w:val="0"/>
      <w:divBdr>
        <w:top w:val="none" w:sz="0" w:space="0" w:color="auto"/>
        <w:left w:val="none" w:sz="0" w:space="0" w:color="auto"/>
        <w:bottom w:val="none" w:sz="0" w:space="0" w:color="auto"/>
        <w:right w:val="none" w:sz="0" w:space="0" w:color="auto"/>
      </w:divBdr>
    </w:div>
    <w:div w:id="188659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olbornc\My%20Documents\-%20KYLIE\GVA%20new%20calcs%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ings\AppData\Local\Microsoft\Windows\Temporary%20Internet%20Files\Content.Outlook\EPSXTJZP\data%20for%20understanding%20distri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Data!$A$17</c:f>
              <c:strCache>
                <c:ptCount val="1"/>
                <c:pt idx="0">
                  <c:v>Bradford</c:v>
                </c:pt>
              </c:strCache>
            </c:strRef>
          </c:tx>
          <c:spPr>
            <a:solidFill>
              <a:schemeClr val="tx2"/>
            </a:solidFill>
            <a:ln>
              <a:solidFill>
                <a:schemeClr val="tx2"/>
              </a:solidFill>
            </a:ln>
          </c:spPr>
          <c:invertIfNegative val="0"/>
          <c:cat>
            <c:numRef>
              <c:f>Data!$B$16:$S$16</c:f>
              <c:numCache>
                <c:formatCode>@</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Data!$B$17:$S$17</c:f>
              <c:numCache>
                <c:formatCode>_-* #,##0_-;\-* #,##0_-;_-* "-"??_-;_-@_-</c:formatCode>
                <c:ptCount val="18"/>
                <c:pt idx="0">
                  <c:v>5013</c:v>
                </c:pt>
                <c:pt idx="1">
                  <c:v>5249</c:v>
                </c:pt>
                <c:pt idx="2">
                  <c:v>5620</c:v>
                </c:pt>
                <c:pt idx="3">
                  <c:v>5731</c:v>
                </c:pt>
                <c:pt idx="4">
                  <c:v>5805</c:v>
                </c:pt>
                <c:pt idx="5">
                  <c:v>6180</c:v>
                </c:pt>
                <c:pt idx="6">
                  <c:v>6466</c:v>
                </c:pt>
                <c:pt idx="7">
                  <c:v>6664</c:v>
                </c:pt>
                <c:pt idx="8">
                  <c:v>6870</c:v>
                </c:pt>
                <c:pt idx="9">
                  <c:v>7586</c:v>
                </c:pt>
                <c:pt idx="10">
                  <c:v>8121</c:v>
                </c:pt>
                <c:pt idx="11">
                  <c:v>8263</c:v>
                </c:pt>
                <c:pt idx="12">
                  <c:v>8397</c:v>
                </c:pt>
                <c:pt idx="13">
                  <c:v>8111</c:v>
                </c:pt>
                <c:pt idx="14">
                  <c:v>8407</c:v>
                </c:pt>
                <c:pt idx="15">
                  <c:v>8558</c:v>
                </c:pt>
                <c:pt idx="16">
                  <c:v>8928</c:v>
                </c:pt>
                <c:pt idx="17">
                  <c:v>9172</c:v>
                </c:pt>
              </c:numCache>
            </c:numRef>
          </c:val>
        </c:ser>
        <c:dLbls>
          <c:showLegendKey val="0"/>
          <c:showVal val="0"/>
          <c:showCatName val="0"/>
          <c:showSerName val="0"/>
          <c:showPercent val="0"/>
          <c:showBubbleSize val="0"/>
        </c:dLbls>
        <c:gapWidth val="150"/>
        <c:axId val="90860928"/>
        <c:axId val="115201536"/>
      </c:barChart>
      <c:catAx>
        <c:axId val="90860928"/>
        <c:scaling>
          <c:orientation val="minMax"/>
        </c:scaling>
        <c:delete val="0"/>
        <c:axPos val="b"/>
        <c:numFmt formatCode="@" sourceLinked="1"/>
        <c:majorTickMark val="out"/>
        <c:minorTickMark val="none"/>
        <c:tickLblPos val="nextTo"/>
        <c:txPr>
          <a:bodyPr/>
          <a:lstStyle/>
          <a:p>
            <a:pPr>
              <a:defRPr sz="800"/>
            </a:pPr>
            <a:endParaRPr lang="en-US"/>
          </a:p>
        </c:txPr>
        <c:crossAx val="115201536"/>
        <c:crosses val="autoZero"/>
        <c:auto val="1"/>
        <c:lblAlgn val="ctr"/>
        <c:lblOffset val="100"/>
        <c:noMultiLvlLbl val="0"/>
      </c:catAx>
      <c:valAx>
        <c:axId val="115201536"/>
        <c:scaling>
          <c:orientation val="minMax"/>
        </c:scaling>
        <c:delete val="0"/>
        <c:axPos val="l"/>
        <c:majorGridlines/>
        <c:title>
          <c:tx>
            <c:rich>
              <a:bodyPr rot="-5400000" vert="horz"/>
              <a:lstStyle/>
              <a:p>
                <a:pPr>
                  <a:defRPr/>
                </a:pPr>
                <a:r>
                  <a:rPr lang="en-GB"/>
                  <a:t>Total GVA (£milion)</a:t>
                </a:r>
              </a:p>
            </c:rich>
          </c:tx>
          <c:layout/>
          <c:overlay val="0"/>
        </c:title>
        <c:numFmt formatCode="_-* #,##0_-;\-* #,##0_-;_-* &quot;-&quot;??_-;_-@_-" sourceLinked="1"/>
        <c:majorTickMark val="out"/>
        <c:minorTickMark val="none"/>
        <c:tickLblPos val="nextTo"/>
        <c:crossAx val="90860928"/>
        <c:crosses val="autoZero"/>
        <c:crossBetween val="between"/>
      </c:val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Sheet1!$C$2</c:f>
              <c:strCache>
                <c:ptCount val="1"/>
                <c:pt idx="0">
                  <c:v>Bradford</c:v>
                </c:pt>
              </c:strCache>
            </c:strRef>
          </c:tx>
          <c:spPr>
            <a:solidFill>
              <a:schemeClr val="accent6"/>
            </a:solidFill>
          </c:spPr>
          <c:invertIfNegative val="0"/>
          <c:cat>
            <c:numRef>
              <c:f>Sheet1!$B$3:$B$16</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Sheet1!$C$3:$C$16</c:f>
              <c:numCache>
                <c:formatCode>General</c:formatCode>
                <c:ptCount val="14"/>
                <c:pt idx="0">
                  <c:v>341</c:v>
                </c:pt>
                <c:pt idx="1">
                  <c:v>350</c:v>
                </c:pt>
                <c:pt idx="2">
                  <c:v>355</c:v>
                </c:pt>
                <c:pt idx="3">
                  <c:v>366.3</c:v>
                </c:pt>
                <c:pt idx="4">
                  <c:v>375.2</c:v>
                </c:pt>
                <c:pt idx="5">
                  <c:v>383</c:v>
                </c:pt>
                <c:pt idx="6">
                  <c:v>392</c:v>
                </c:pt>
                <c:pt idx="7">
                  <c:v>410.5</c:v>
                </c:pt>
                <c:pt idx="8">
                  <c:v>422.4</c:v>
                </c:pt>
                <c:pt idx="9">
                  <c:v>417.7</c:v>
                </c:pt>
                <c:pt idx="10">
                  <c:v>426.6</c:v>
                </c:pt>
                <c:pt idx="11">
                  <c:v>446.4</c:v>
                </c:pt>
                <c:pt idx="12">
                  <c:v>447.5</c:v>
                </c:pt>
                <c:pt idx="13">
                  <c:v>451.6</c:v>
                </c:pt>
              </c:numCache>
            </c:numRef>
          </c:val>
        </c:ser>
        <c:ser>
          <c:idx val="1"/>
          <c:order val="1"/>
          <c:tx>
            <c:strRef>
              <c:f>Sheet1!$D$2</c:f>
              <c:strCache>
                <c:ptCount val="1"/>
                <c:pt idx="0">
                  <c:v>Yorks &amp; Humb </c:v>
                </c:pt>
              </c:strCache>
            </c:strRef>
          </c:tx>
          <c:spPr>
            <a:solidFill>
              <a:schemeClr val="tx2"/>
            </a:solidFill>
          </c:spPr>
          <c:invertIfNegative val="0"/>
          <c:cat>
            <c:numRef>
              <c:f>Sheet1!$B$3:$B$16</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Sheet1!$D$3:$D$16</c:f>
              <c:numCache>
                <c:formatCode>General</c:formatCode>
                <c:ptCount val="14"/>
                <c:pt idx="0">
                  <c:v>360</c:v>
                </c:pt>
                <c:pt idx="1">
                  <c:v>375.5</c:v>
                </c:pt>
                <c:pt idx="2">
                  <c:v>391.5</c:v>
                </c:pt>
                <c:pt idx="3">
                  <c:v>400</c:v>
                </c:pt>
                <c:pt idx="4">
                  <c:v>412.5</c:v>
                </c:pt>
                <c:pt idx="5">
                  <c:v>425.6</c:v>
                </c:pt>
                <c:pt idx="6">
                  <c:v>444.3</c:v>
                </c:pt>
                <c:pt idx="7">
                  <c:v>452.6</c:v>
                </c:pt>
                <c:pt idx="8">
                  <c:v>462.5</c:v>
                </c:pt>
                <c:pt idx="9">
                  <c:v>461.7</c:v>
                </c:pt>
                <c:pt idx="10">
                  <c:v>465.2</c:v>
                </c:pt>
                <c:pt idx="11">
                  <c:v>479.1</c:v>
                </c:pt>
                <c:pt idx="12">
                  <c:v>479</c:v>
                </c:pt>
                <c:pt idx="13">
                  <c:v>480.5</c:v>
                </c:pt>
              </c:numCache>
            </c:numRef>
          </c:val>
        </c:ser>
        <c:ser>
          <c:idx val="2"/>
          <c:order val="2"/>
          <c:tx>
            <c:strRef>
              <c:f>Sheet1!$E$2</c:f>
              <c:strCache>
                <c:ptCount val="1"/>
                <c:pt idx="0">
                  <c:v>Great Britain</c:v>
                </c:pt>
              </c:strCache>
            </c:strRef>
          </c:tx>
          <c:spPr>
            <a:solidFill>
              <a:schemeClr val="accent3"/>
            </a:solidFill>
          </c:spPr>
          <c:invertIfNegative val="0"/>
          <c:cat>
            <c:numRef>
              <c:f>Sheet1!$B$3:$B$16</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Sheet1!$E$3:$E$16</c:f>
              <c:numCache>
                <c:formatCode>General</c:formatCode>
                <c:ptCount val="14"/>
                <c:pt idx="0">
                  <c:v>392.7</c:v>
                </c:pt>
                <c:pt idx="1">
                  <c:v>406.2</c:v>
                </c:pt>
                <c:pt idx="2">
                  <c:v>421.3</c:v>
                </c:pt>
                <c:pt idx="3">
                  <c:v>432.8</c:v>
                </c:pt>
                <c:pt idx="4">
                  <c:v>445.9</c:v>
                </c:pt>
                <c:pt idx="5">
                  <c:v>460</c:v>
                </c:pt>
                <c:pt idx="6">
                  <c:v>480</c:v>
                </c:pt>
                <c:pt idx="7">
                  <c:v>490.5</c:v>
                </c:pt>
                <c:pt idx="8">
                  <c:v>501.7</c:v>
                </c:pt>
                <c:pt idx="9">
                  <c:v>500.2</c:v>
                </c:pt>
                <c:pt idx="10">
                  <c:v>508.3</c:v>
                </c:pt>
                <c:pt idx="11">
                  <c:v>517.9</c:v>
                </c:pt>
                <c:pt idx="12">
                  <c:v>521.1</c:v>
                </c:pt>
                <c:pt idx="13">
                  <c:v>529.6</c:v>
                </c:pt>
              </c:numCache>
            </c:numRef>
          </c:val>
        </c:ser>
        <c:dLbls>
          <c:showLegendKey val="0"/>
          <c:showVal val="0"/>
          <c:showCatName val="0"/>
          <c:showSerName val="0"/>
          <c:showPercent val="0"/>
          <c:showBubbleSize val="0"/>
        </c:dLbls>
        <c:gapWidth val="150"/>
        <c:axId val="124403072"/>
        <c:axId val="124626048"/>
      </c:barChart>
      <c:catAx>
        <c:axId val="124403072"/>
        <c:scaling>
          <c:orientation val="minMax"/>
        </c:scaling>
        <c:delete val="0"/>
        <c:axPos val="b"/>
        <c:numFmt formatCode="General" sourceLinked="1"/>
        <c:majorTickMark val="out"/>
        <c:minorTickMark val="none"/>
        <c:tickLblPos val="nextTo"/>
        <c:crossAx val="124626048"/>
        <c:crosses val="autoZero"/>
        <c:auto val="1"/>
        <c:lblAlgn val="ctr"/>
        <c:lblOffset val="100"/>
        <c:noMultiLvlLbl val="0"/>
      </c:catAx>
      <c:valAx>
        <c:axId val="124626048"/>
        <c:scaling>
          <c:orientation val="minMax"/>
        </c:scaling>
        <c:delete val="0"/>
        <c:axPos val="l"/>
        <c:majorGridlines/>
        <c:numFmt formatCode="General" sourceLinked="1"/>
        <c:majorTickMark val="out"/>
        <c:minorTickMark val="none"/>
        <c:tickLblPos val="nextTo"/>
        <c:crossAx val="12440307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83EB-9EEF-4BF0-A0FB-079996EA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8</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ridleyw</dc:creator>
  <cp:lastModifiedBy>Mark Widdowson</cp:lastModifiedBy>
  <cp:revision>17</cp:revision>
  <cp:lastPrinted>2016-10-26T13:37:00Z</cp:lastPrinted>
  <dcterms:created xsi:type="dcterms:W3CDTF">2016-10-25T11:47:00Z</dcterms:created>
  <dcterms:modified xsi:type="dcterms:W3CDTF">2016-11-02T11:54:00Z</dcterms:modified>
</cp:coreProperties>
</file>