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1F497D" w:themeFill="text2"/>
        <w:tblLook w:val="04A0" w:firstRow="1" w:lastRow="0" w:firstColumn="1" w:lastColumn="0" w:noHBand="0" w:noVBand="1"/>
      </w:tblPr>
      <w:tblGrid>
        <w:gridCol w:w="1910"/>
        <w:gridCol w:w="6585"/>
        <w:gridCol w:w="1785"/>
      </w:tblGrid>
      <w:tr w:rsidR="00D6213E" w:rsidRPr="00D6213E" w:rsidTr="0014797B">
        <w:trPr>
          <w:trHeight w:val="1134"/>
        </w:trPr>
        <w:tc>
          <w:tcPr>
            <w:tcW w:w="1910" w:type="dxa"/>
            <w:tcBorders>
              <w:bottom w:val="nil"/>
            </w:tcBorders>
            <w:shd w:val="clear" w:color="auto" w:fill="1F497D" w:themeFill="text2"/>
            <w:vAlign w:val="center"/>
          </w:tcPr>
          <w:p w:rsidR="00D6213E" w:rsidRPr="00CF75AD" w:rsidRDefault="00D6213E" w:rsidP="00ED0484">
            <w:pPr>
              <w:jc w:val="center"/>
              <w:rPr>
                <w:rFonts w:cs="Arial"/>
                <w:b/>
                <w:color w:val="FFFFFF" w:themeColor="background1"/>
                <w:szCs w:val="24"/>
              </w:rPr>
            </w:pPr>
            <w:r w:rsidRPr="00CF75AD">
              <w:rPr>
                <w:rFonts w:cs="Arial"/>
                <w:b/>
                <w:color w:val="FFFFFF" w:themeColor="background1"/>
                <w:szCs w:val="24"/>
              </w:rPr>
              <w:t>Understanding Bradford District</w:t>
            </w:r>
          </w:p>
        </w:tc>
        <w:tc>
          <w:tcPr>
            <w:tcW w:w="6585" w:type="dxa"/>
            <w:tcBorders>
              <w:bottom w:val="nil"/>
            </w:tcBorders>
            <w:shd w:val="clear" w:color="auto" w:fill="1F497D" w:themeFill="text2"/>
            <w:vAlign w:val="center"/>
          </w:tcPr>
          <w:p w:rsidR="00B727EF" w:rsidRPr="00B727EF" w:rsidRDefault="00B727EF" w:rsidP="0014797B">
            <w:pPr>
              <w:jc w:val="center"/>
              <w:rPr>
                <w:color w:val="FFFFFF" w:themeColor="background1"/>
                <w:sz w:val="20"/>
                <w:szCs w:val="20"/>
              </w:rPr>
            </w:pPr>
            <w:r w:rsidRPr="00B727EF">
              <w:rPr>
                <w:color w:val="FFFFFF" w:themeColor="background1"/>
                <w:sz w:val="20"/>
                <w:szCs w:val="20"/>
              </w:rPr>
              <w:t>City of Bradford Metropolitan District Council</w:t>
            </w:r>
          </w:p>
          <w:p w:rsidR="0014797B" w:rsidRPr="00B727EF" w:rsidRDefault="00D6213E" w:rsidP="0014797B">
            <w:pPr>
              <w:jc w:val="center"/>
              <w:rPr>
                <w:b/>
                <w:color w:val="FFFFFF" w:themeColor="background1"/>
                <w:sz w:val="36"/>
                <w:szCs w:val="36"/>
              </w:rPr>
            </w:pPr>
            <w:r w:rsidRPr="00B727EF">
              <w:rPr>
                <w:b/>
                <w:color w:val="FFFFFF" w:themeColor="background1"/>
                <w:sz w:val="36"/>
                <w:szCs w:val="36"/>
              </w:rPr>
              <w:t xml:space="preserve">Intelligence </w:t>
            </w:r>
            <w:r w:rsidR="0014797B" w:rsidRPr="00B727EF">
              <w:rPr>
                <w:b/>
                <w:color w:val="FFFFFF" w:themeColor="background1"/>
                <w:sz w:val="36"/>
                <w:szCs w:val="36"/>
              </w:rPr>
              <w:t>Bulletin</w:t>
            </w:r>
          </w:p>
        </w:tc>
        <w:tc>
          <w:tcPr>
            <w:tcW w:w="1785" w:type="dxa"/>
            <w:tcBorders>
              <w:bottom w:val="nil"/>
            </w:tcBorders>
            <w:shd w:val="clear" w:color="auto" w:fill="1F497D" w:themeFill="text2"/>
            <w:vAlign w:val="center"/>
          </w:tcPr>
          <w:p w:rsidR="00D6213E" w:rsidRPr="00CF75AD" w:rsidRDefault="0019190B" w:rsidP="0019190B">
            <w:pPr>
              <w:jc w:val="center"/>
              <w:rPr>
                <w:rFonts w:cs="Arial"/>
                <w:color w:val="FFFFFF" w:themeColor="background1"/>
                <w:szCs w:val="24"/>
              </w:rPr>
            </w:pPr>
            <w:r>
              <w:rPr>
                <w:rFonts w:cs="Arial"/>
                <w:color w:val="FFFFFF" w:themeColor="background1"/>
                <w:szCs w:val="24"/>
              </w:rPr>
              <w:t xml:space="preserve">January </w:t>
            </w:r>
            <w:r w:rsidR="00777382">
              <w:rPr>
                <w:rFonts w:cs="Arial"/>
                <w:color w:val="FFFFFF" w:themeColor="background1"/>
                <w:szCs w:val="24"/>
              </w:rPr>
              <w:t>201</w:t>
            </w:r>
            <w:r>
              <w:rPr>
                <w:rFonts w:cs="Arial"/>
                <w:color w:val="FFFFFF" w:themeColor="background1"/>
                <w:szCs w:val="24"/>
              </w:rPr>
              <w:t>7</w:t>
            </w:r>
            <w:bookmarkStart w:id="0" w:name="_GoBack"/>
            <w:bookmarkEnd w:id="0"/>
          </w:p>
        </w:tc>
      </w:tr>
    </w:tbl>
    <w:p w:rsidR="00BA4041" w:rsidRPr="00BA4041" w:rsidRDefault="00BA4041">
      <w:pPr>
        <w:rPr>
          <w:sz w:val="6"/>
          <w:szCs w:val="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86"/>
        <w:gridCol w:w="8294"/>
      </w:tblGrid>
      <w:tr w:rsidR="00BA4041" w:rsidTr="00BA4041">
        <w:tc>
          <w:tcPr>
            <w:tcW w:w="1951" w:type="dxa"/>
          </w:tcPr>
          <w:p w:rsidR="00BA4041" w:rsidRDefault="00777382">
            <w:r>
              <w:rPr>
                <w:noProof/>
                <w:lang w:eastAsia="en-GB"/>
              </w:rPr>
              <w:drawing>
                <wp:inline distT="0" distB="0" distL="0" distR="0" wp14:anchorId="03F86859" wp14:editId="6BC7D866">
                  <wp:extent cx="1114425" cy="1114425"/>
                  <wp:effectExtent l="0" t="0" r="9525"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8329" w:type="dxa"/>
            <w:vAlign w:val="center"/>
          </w:tcPr>
          <w:p w:rsidR="00BA4041" w:rsidRPr="00777382" w:rsidRDefault="00777382" w:rsidP="00330D01">
            <w:pPr>
              <w:pStyle w:val="Title"/>
              <w:rPr>
                <w:sz w:val="72"/>
              </w:rPr>
            </w:pPr>
            <w:r w:rsidRPr="00777382">
              <w:rPr>
                <w:sz w:val="72"/>
              </w:rPr>
              <w:t>Safer and Stronger Communities</w:t>
            </w:r>
          </w:p>
        </w:tc>
      </w:tr>
    </w:tbl>
    <w:p w:rsidR="00BA4041" w:rsidRPr="00BA4041" w:rsidRDefault="00BA4041">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280"/>
      </w:tblGrid>
      <w:tr w:rsidR="00D6213E" w:rsidTr="009D73B1">
        <w:tc>
          <w:tcPr>
            <w:tcW w:w="10280" w:type="dxa"/>
            <w:shd w:val="clear" w:color="auto" w:fill="DAEEF3" w:themeFill="accent5" w:themeFillTint="33"/>
          </w:tcPr>
          <w:p w:rsidR="00D6213E" w:rsidRPr="00E1226B" w:rsidRDefault="00D6213E" w:rsidP="00CF75AD">
            <w:pPr>
              <w:pStyle w:val="Heading1"/>
            </w:pPr>
            <w:r w:rsidRPr="00E1226B">
              <w:t>At a glance:</w:t>
            </w:r>
          </w:p>
          <w:p w:rsidR="00777382" w:rsidRPr="00777382" w:rsidRDefault="00777382" w:rsidP="00777382">
            <w:pPr>
              <w:pStyle w:val="ListParagraph"/>
              <w:numPr>
                <w:ilvl w:val="0"/>
                <w:numId w:val="2"/>
              </w:numPr>
              <w:rPr>
                <w:rFonts w:cs="Arial"/>
                <w:szCs w:val="24"/>
              </w:rPr>
            </w:pPr>
            <w:r w:rsidRPr="00777382">
              <w:rPr>
                <w:rFonts w:cs="Arial"/>
                <w:szCs w:val="24"/>
              </w:rPr>
              <w:t xml:space="preserve">Overall crime levels in the District </w:t>
            </w:r>
            <w:r w:rsidR="002A4EEA">
              <w:rPr>
                <w:rFonts w:cs="Arial"/>
                <w:szCs w:val="24"/>
              </w:rPr>
              <w:t>increased by 30</w:t>
            </w:r>
            <w:r w:rsidRPr="00777382">
              <w:rPr>
                <w:rFonts w:cs="Arial"/>
                <w:szCs w:val="24"/>
              </w:rPr>
              <w:t>% between 201</w:t>
            </w:r>
            <w:r w:rsidR="002A4EEA">
              <w:rPr>
                <w:rFonts w:cs="Arial"/>
                <w:szCs w:val="24"/>
              </w:rPr>
              <w:t>4</w:t>
            </w:r>
            <w:r w:rsidRPr="00777382">
              <w:rPr>
                <w:rFonts w:cs="Arial"/>
                <w:szCs w:val="24"/>
              </w:rPr>
              <w:t>/1</w:t>
            </w:r>
            <w:r w:rsidR="002A4EEA">
              <w:rPr>
                <w:rFonts w:cs="Arial"/>
                <w:szCs w:val="24"/>
              </w:rPr>
              <w:t>5</w:t>
            </w:r>
            <w:r w:rsidRPr="00777382">
              <w:rPr>
                <w:rFonts w:cs="Arial"/>
                <w:szCs w:val="24"/>
              </w:rPr>
              <w:t xml:space="preserve"> and 201</w:t>
            </w:r>
            <w:r w:rsidR="002A4EEA">
              <w:rPr>
                <w:rFonts w:cs="Arial"/>
                <w:szCs w:val="24"/>
              </w:rPr>
              <w:t xml:space="preserve">5/16. </w:t>
            </w:r>
            <w:r w:rsidRPr="00777382">
              <w:rPr>
                <w:rFonts w:cs="Arial"/>
                <w:szCs w:val="24"/>
              </w:rPr>
              <w:t xml:space="preserve"> This is largely due to stricter adherence to the National Crime Recording Standard (NCRS), which means that all reported crime is now recorded, unless there is compelling evidence to the contrary.</w:t>
            </w:r>
          </w:p>
          <w:p w:rsidR="00777382" w:rsidRPr="00777382" w:rsidRDefault="0091766E" w:rsidP="00777382">
            <w:pPr>
              <w:pStyle w:val="ListParagraph"/>
              <w:numPr>
                <w:ilvl w:val="0"/>
                <w:numId w:val="2"/>
              </w:numPr>
              <w:rPr>
                <w:rFonts w:cs="Arial"/>
                <w:szCs w:val="24"/>
              </w:rPr>
            </w:pPr>
            <w:r>
              <w:rPr>
                <w:rFonts w:cs="Arial"/>
                <w:szCs w:val="24"/>
              </w:rPr>
              <w:t>Reporting of</w:t>
            </w:r>
            <w:r w:rsidR="00777382" w:rsidRPr="00777382">
              <w:rPr>
                <w:rFonts w:cs="Arial"/>
                <w:szCs w:val="24"/>
              </w:rPr>
              <w:t xml:space="preserve"> hate crime and domestic abuse</w:t>
            </w:r>
            <w:r>
              <w:rPr>
                <w:rFonts w:cs="Arial"/>
                <w:szCs w:val="24"/>
              </w:rPr>
              <w:t xml:space="preserve"> has improved compared to previous years.</w:t>
            </w:r>
            <w:r w:rsidR="00777382" w:rsidRPr="00777382">
              <w:rPr>
                <w:rFonts w:cs="Arial"/>
                <w:szCs w:val="24"/>
              </w:rPr>
              <w:t xml:space="preserve">  </w:t>
            </w:r>
          </w:p>
          <w:p w:rsidR="00777382" w:rsidRPr="00777382" w:rsidRDefault="00777382" w:rsidP="00777382">
            <w:pPr>
              <w:pStyle w:val="ListParagraph"/>
              <w:numPr>
                <w:ilvl w:val="0"/>
                <w:numId w:val="2"/>
              </w:numPr>
              <w:rPr>
                <w:rFonts w:cs="Arial"/>
                <w:szCs w:val="24"/>
              </w:rPr>
            </w:pPr>
            <w:r w:rsidRPr="00777382">
              <w:rPr>
                <w:rFonts w:cs="Arial"/>
                <w:szCs w:val="24"/>
              </w:rPr>
              <w:t xml:space="preserve">Traffic issues and rubbish and litter lying around are the top anti-social behaviour related issues for residents in the District.  </w:t>
            </w:r>
          </w:p>
          <w:p w:rsidR="00777382" w:rsidRPr="00777382" w:rsidRDefault="00777382" w:rsidP="00777382">
            <w:pPr>
              <w:pStyle w:val="ListParagraph"/>
              <w:numPr>
                <w:ilvl w:val="0"/>
                <w:numId w:val="2"/>
              </w:numPr>
              <w:rPr>
                <w:rFonts w:cs="Arial"/>
                <w:szCs w:val="24"/>
              </w:rPr>
            </w:pPr>
            <w:r w:rsidRPr="00777382">
              <w:rPr>
                <w:szCs w:val="24"/>
              </w:rPr>
              <w:t xml:space="preserve">The total number of Killed or Seriously Injured (KSI) casualties has </w:t>
            </w:r>
            <w:r w:rsidR="00496CEE">
              <w:rPr>
                <w:szCs w:val="24"/>
              </w:rPr>
              <w:t>fallen</w:t>
            </w:r>
            <w:r w:rsidRPr="00777382">
              <w:rPr>
                <w:szCs w:val="24"/>
              </w:rPr>
              <w:t xml:space="preserve"> after </w:t>
            </w:r>
            <w:r w:rsidR="00496CEE">
              <w:rPr>
                <w:szCs w:val="24"/>
              </w:rPr>
              <w:t>a rise the previous year.</w:t>
            </w:r>
          </w:p>
          <w:p w:rsidR="0014797B" w:rsidRPr="00777382" w:rsidRDefault="00777382" w:rsidP="00777382">
            <w:pPr>
              <w:pStyle w:val="ListParagraph"/>
              <w:numPr>
                <w:ilvl w:val="0"/>
                <w:numId w:val="2"/>
              </w:numPr>
              <w:rPr>
                <w:rFonts w:cs="Arial"/>
                <w:szCs w:val="24"/>
              </w:rPr>
            </w:pPr>
            <w:r w:rsidRPr="00777382">
              <w:rPr>
                <w:rFonts w:cs="Arial"/>
                <w:szCs w:val="24"/>
              </w:rPr>
              <w:t>Satisfaction with local areas and identity with neighbourhoods is strong. Over 60% of the population agree that people from different backgrounds get on well together and 70% of Bradford District’s residents were satisfied with their local area as a place to live in.</w:t>
            </w:r>
          </w:p>
        </w:tc>
      </w:tr>
    </w:tbl>
    <w:p w:rsidR="00E1226B" w:rsidRDefault="00E1226B" w:rsidP="009D73B1">
      <w:pPr>
        <w:pStyle w:val="Heading1"/>
        <w:sectPr w:rsidR="00E1226B" w:rsidSect="0014797B">
          <w:headerReference w:type="default" r:id="rId10"/>
          <w:footerReference w:type="default" r:id="rId11"/>
          <w:footerReference w:type="first" r:id="rId12"/>
          <w:pgSz w:w="11906" w:h="16838"/>
          <w:pgMar w:top="-582" w:right="991" w:bottom="851" w:left="851" w:header="708" w:footer="401" w:gutter="0"/>
          <w:cols w:space="708"/>
          <w:docGrid w:linePitch="360"/>
        </w:sectPr>
      </w:pPr>
    </w:p>
    <w:p w:rsidR="00777382" w:rsidRDefault="00777382" w:rsidP="009D73B1">
      <w:pPr>
        <w:pStyle w:val="Heading1"/>
      </w:pPr>
    </w:p>
    <w:p w:rsidR="008015ED" w:rsidRDefault="008015ED" w:rsidP="009D73B1">
      <w:pPr>
        <w:pStyle w:val="Heading1"/>
      </w:pPr>
      <w:r>
        <w:t>Introduction</w:t>
      </w:r>
    </w:p>
    <w:p w:rsidR="00777382" w:rsidRDefault="00777382" w:rsidP="00777382">
      <w:pPr>
        <w:autoSpaceDE w:val="0"/>
        <w:autoSpaceDN w:val="0"/>
        <w:adjustRightInd w:val="0"/>
        <w:rPr>
          <w:rFonts w:cs="Arial"/>
        </w:rPr>
      </w:pPr>
      <w:r>
        <w:rPr>
          <w:rFonts w:cs="Arial"/>
        </w:rPr>
        <w:t>This chapter considers</w:t>
      </w:r>
      <w:r w:rsidRPr="00D53292">
        <w:rPr>
          <w:rFonts w:cs="Arial"/>
        </w:rPr>
        <w:t xml:space="preserve"> </w:t>
      </w:r>
      <w:r>
        <w:rPr>
          <w:rFonts w:cs="Arial"/>
        </w:rPr>
        <w:t>crime trends, the communities these most impact on and</w:t>
      </w:r>
      <w:r w:rsidRPr="00976EB9">
        <w:rPr>
          <w:rFonts w:cs="Arial"/>
        </w:rPr>
        <w:t xml:space="preserve"> </w:t>
      </w:r>
      <w:r>
        <w:rPr>
          <w:rFonts w:cs="Arial"/>
        </w:rPr>
        <w:t>how Bradford District residents are contributing to the District as active citizens, both as individuals and collectively, tackling issues that affect their neighbourhoods and communities.  The chapter also looks at how diverse communities get on together and where this varies across the District.  An analysis of equalities issues is provided in the People and Place introductory chapter.</w:t>
      </w:r>
    </w:p>
    <w:p w:rsidR="00484A05" w:rsidRPr="008015ED" w:rsidRDefault="00484A05" w:rsidP="008015ED"/>
    <w:p w:rsidR="00BE4475" w:rsidRDefault="00777382" w:rsidP="00BE4475">
      <w:pPr>
        <w:pStyle w:val="Heading1"/>
        <w:rPr>
          <w:rFonts w:cs="Arial"/>
        </w:rPr>
      </w:pPr>
      <w:r>
        <w:rPr>
          <w:rFonts w:cs="Arial"/>
        </w:rPr>
        <w:t>Crime</w:t>
      </w:r>
    </w:p>
    <w:p w:rsidR="00C2499C" w:rsidRDefault="00777382" w:rsidP="00C2499C">
      <w:r w:rsidRPr="00067675">
        <w:rPr>
          <w:rFonts w:cs="Arial"/>
          <w:color w:val="000000"/>
        </w:rPr>
        <w:t xml:space="preserve">Total crime </w:t>
      </w:r>
      <w:r w:rsidR="00737793">
        <w:rPr>
          <w:rFonts w:cs="Arial"/>
          <w:color w:val="000000"/>
        </w:rPr>
        <w:t>increased</w:t>
      </w:r>
      <w:r w:rsidRPr="00067675">
        <w:rPr>
          <w:rFonts w:cs="Arial"/>
          <w:color w:val="000000"/>
        </w:rPr>
        <w:t xml:space="preserve"> by </w:t>
      </w:r>
      <w:r w:rsidR="00C2499C">
        <w:rPr>
          <w:rFonts w:cs="Arial"/>
          <w:color w:val="000000"/>
        </w:rPr>
        <w:t>30</w:t>
      </w:r>
      <w:r w:rsidRPr="00067675">
        <w:rPr>
          <w:rFonts w:cs="Arial"/>
          <w:color w:val="000000"/>
        </w:rPr>
        <w:t>% (</w:t>
      </w:r>
      <w:r w:rsidR="001209E8">
        <w:rPr>
          <w:rFonts w:cs="Arial"/>
          <w:color w:val="000000"/>
        </w:rPr>
        <w:t xml:space="preserve">an additional </w:t>
      </w:r>
      <w:r w:rsidR="00C2499C">
        <w:rPr>
          <w:rFonts w:cs="Arial"/>
          <w:color w:val="000000"/>
        </w:rPr>
        <w:t>11,780</w:t>
      </w:r>
      <w:r w:rsidRPr="00067675">
        <w:rPr>
          <w:rFonts w:cs="Arial"/>
          <w:color w:val="000000"/>
        </w:rPr>
        <w:t xml:space="preserve"> offences) between </w:t>
      </w:r>
      <w:r>
        <w:rPr>
          <w:rFonts w:cs="Arial"/>
          <w:color w:val="000000"/>
        </w:rPr>
        <w:t>201</w:t>
      </w:r>
      <w:r w:rsidR="00C2499C">
        <w:rPr>
          <w:rFonts w:cs="Arial"/>
          <w:color w:val="000000"/>
        </w:rPr>
        <w:t>4</w:t>
      </w:r>
      <w:r>
        <w:rPr>
          <w:rFonts w:cs="Arial"/>
          <w:color w:val="000000"/>
        </w:rPr>
        <w:t>/1</w:t>
      </w:r>
      <w:r w:rsidR="00C2499C">
        <w:rPr>
          <w:rFonts w:cs="Arial"/>
          <w:color w:val="000000"/>
        </w:rPr>
        <w:t>5</w:t>
      </w:r>
      <w:r w:rsidRPr="00067675">
        <w:rPr>
          <w:rFonts w:cs="Arial"/>
          <w:color w:val="000000"/>
        </w:rPr>
        <w:t xml:space="preserve"> and </w:t>
      </w:r>
      <w:r>
        <w:rPr>
          <w:rFonts w:cs="Arial"/>
          <w:color w:val="000000"/>
        </w:rPr>
        <w:t>201</w:t>
      </w:r>
      <w:r w:rsidR="00C2499C">
        <w:rPr>
          <w:rFonts w:cs="Arial"/>
          <w:color w:val="000000"/>
        </w:rPr>
        <w:t>5</w:t>
      </w:r>
      <w:r>
        <w:rPr>
          <w:rFonts w:cs="Arial"/>
          <w:color w:val="000000"/>
        </w:rPr>
        <w:t>/1</w:t>
      </w:r>
      <w:r w:rsidR="00C2499C">
        <w:rPr>
          <w:rFonts w:cs="Arial"/>
          <w:color w:val="000000"/>
        </w:rPr>
        <w:t>6</w:t>
      </w:r>
      <w:r w:rsidRPr="00067675">
        <w:rPr>
          <w:rFonts w:cs="Arial"/>
          <w:color w:val="000000"/>
        </w:rPr>
        <w:t xml:space="preserve">. In </w:t>
      </w:r>
      <w:r>
        <w:rPr>
          <w:rFonts w:cs="Arial"/>
          <w:color w:val="000000"/>
        </w:rPr>
        <w:t>201</w:t>
      </w:r>
      <w:r w:rsidR="00C2499C">
        <w:rPr>
          <w:rFonts w:cs="Arial"/>
          <w:color w:val="000000"/>
        </w:rPr>
        <w:t>5</w:t>
      </w:r>
      <w:r>
        <w:rPr>
          <w:rFonts w:cs="Arial"/>
          <w:color w:val="000000"/>
        </w:rPr>
        <w:t>/1</w:t>
      </w:r>
      <w:r w:rsidR="00C2499C">
        <w:rPr>
          <w:rFonts w:cs="Arial"/>
          <w:color w:val="000000"/>
        </w:rPr>
        <w:t>6</w:t>
      </w:r>
      <w:r w:rsidRPr="00067675">
        <w:rPr>
          <w:rFonts w:cs="Arial"/>
          <w:color w:val="000000"/>
        </w:rPr>
        <w:t xml:space="preserve"> there were </w:t>
      </w:r>
      <w:r w:rsidR="00C2499C">
        <w:rPr>
          <w:rFonts w:cs="Arial"/>
          <w:color w:val="000000"/>
        </w:rPr>
        <w:t xml:space="preserve">51,325 </w:t>
      </w:r>
      <w:r w:rsidRPr="00067675">
        <w:rPr>
          <w:rFonts w:cs="Arial"/>
          <w:color w:val="000000"/>
        </w:rPr>
        <w:t xml:space="preserve">offences recorded by the Police. </w:t>
      </w:r>
      <w:r>
        <w:rPr>
          <w:rFonts w:cs="Arial"/>
          <w:color w:val="000000"/>
        </w:rPr>
        <w:t xml:space="preserve"> </w:t>
      </w:r>
      <w:r w:rsidRPr="002B3200">
        <w:rPr>
          <w:rFonts w:cs="Arial"/>
          <w:color w:val="000000"/>
        </w:rPr>
        <w:t xml:space="preserve">This </w:t>
      </w:r>
      <w:r w:rsidR="00C2499C">
        <w:rPr>
          <w:rFonts w:cs="Arial"/>
          <w:color w:val="000000"/>
        </w:rPr>
        <w:t xml:space="preserve">increase </w:t>
      </w:r>
      <w:r w:rsidRPr="002B3200">
        <w:rPr>
          <w:rFonts w:cs="Arial"/>
          <w:color w:val="000000"/>
        </w:rPr>
        <w:t>is largely due to stricter adherence to the National Crime Recording Standard (NCRS), which means that all reported crime is now recorded, unless there is compelling evidence to the contrary.</w:t>
      </w:r>
      <w:r w:rsidR="00C2499C">
        <w:rPr>
          <w:rFonts w:cs="Arial"/>
          <w:color w:val="000000"/>
        </w:rPr>
        <w:t xml:space="preserve"> Since April 2016 this increase </w:t>
      </w:r>
      <w:r w:rsidR="007B407B">
        <w:rPr>
          <w:rFonts w:cs="Arial"/>
          <w:color w:val="000000"/>
        </w:rPr>
        <w:t xml:space="preserve">in recorded crime </w:t>
      </w:r>
      <w:r w:rsidR="00C2499C">
        <w:rPr>
          <w:rFonts w:cs="Arial"/>
          <w:color w:val="000000"/>
        </w:rPr>
        <w:t>has been slowing</w:t>
      </w:r>
      <w:r w:rsidR="00277DD3">
        <w:rPr>
          <w:rFonts w:cs="Arial"/>
          <w:color w:val="000000"/>
        </w:rPr>
        <w:t>, for the year to 30</w:t>
      </w:r>
      <w:r w:rsidR="00277DD3" w:rsidRPr="00277DD3">
        <w:rPr>
          <w:rFonts w:cs="Arial"/>
          <w:color w:val="000000"/>
          <w:vertAlign w:val="superscript"/>
        </w:rPr>
        <w:t>th</w:t>
      </w:r>
      <w:r w:rsidR="00277DD3">
        <w:rPr>
          <w:rFonts w:cs="Arial"/>
          <w:color w:val="000000"/>
        </w:rPr>
        <w:t xml:space="preserve"> September 2016 there was a 22% increase compared to the same period the previous year. West Yorkshire Police conducted an</w:t>
      </w:r>
      <w:r w:rsidR="00C2499C">
        <w:t xml:space="preserve"> analysis </w:t>
      </w:r>
      <w:r w:rsidR="00277DD3">
        <w:t xml:space="preserve">which </w:t>
      </w:r>
      <w:r w:rsidR="00C2499C">
        <w:t xml:space="preserve">suggests that, of the 15.4% increase for </w:t>
      </w:r>
      <w:r w:rsidR="00277DD3">
        <w:t xml:space="preserve">West Yorkshire </w:t>
      </w:r>
      <w:r w:rsidR="00C2499C">
        <w:t xml:space="preserve">the April – August 2016, 11.2% relates to </w:t>
      </w:r>
      <w:r w:rsidR="007B407B">
        <w:t>improved compliance with NCRS</w:t>
      </w:r>
      <w:r w:rsidR="00C2499C">
        <w:t>, 0.4% relates to proactivity (drugs and offender management) and 3.9% relates to an increase in risk.  The offence types with increased risk are largely acquisitive crime (domestic burglary, vehicle crime, shoplifting and bicycle theft).</w:t>
      </w:r>
    </w:p>
    <w:p w:rsidR="00777382" w:rsidRPr="00440827" w:rsidRDefault="00777382" w:rsidP="00777382">
      <w:pPr>
        <w:autoSpaceDE w:val="0"/>
        <w:autoSpaceDN w:val="0"/>
        <w:adjustRightInd w:val="0"/>
        <w:outlineLvl w:val="0"/>
        <w:rPr>
          <w:rFonts w:ascii="Arial Narrow" w:hAnsi="Arial Narrow" w:cs="Arial"/>
        </w:rPr>
      </w:pPr>
    </w:p>
    <w:p w:rsidR="00777382" w:rsidRDefault="00777382" w:rsidP="00777382">
      <w:pPr>
        <w:rPr>
          <w:rFonts w:cs="Arial"/>
          <w:color w:val="000000"/>
        </w:rPr>
      </w:pPr>
      <w:r>
        <w:rPr>
          <w:rFonts w:cs="Arial"/>
          <w:color w:val="000000"/>
        </w:rPr>
        <w:t>I</w:t>
      </w:r>
      <w:r w:rsidRPr="00067675">
        <w:rPr>
          <w:rFonts w:cs="Arial"/>
          <w:color w:val="000000"/>
        </w:rPr>
        <w:t xml:space="preserve">n </w:t>
      </w:r>
      <w:r>
        <w:rPr>
          <w:rFonts w:cs="Arial"/>
          <w:color w:val="000000"/>
        </w:rPr>
        <w:t>201</w:t>
      </w:r>
      <w:r w:rsidR="001209E8">
        <w:rPr>
          <w:rFonts w:cs="Arial"/>
          <w:color w:val="000000"/>
        </w:rPr>
        <w:t>5</w:t>
      </w:r>
      <w:r>
        <w:rPr>
          <w:rFonts w:cs="Arial"/>
          <w:color w:val="000000"/>
        </w:rPr>
        <w:t>/1</w:t>
      </w:r>
      <w:r w:rsidR="001209E8">
        <w:rPr>
          <w:rFonts w:cs="Arial"/>
          <w:color w:val="000000"/>
        </w:rPr>
        <w:t>6</w:t>
      </w:r>
      <w:r w:rsidRPr="00067675">
        <w:rPr>
          <w:rFonts w:cs="Arial"/>
          <w:color w:val="000000"/>
        </w:rPr>
        <w:t xml:space="preserve"> </w:t>
      </w:r>
      <w:r>
        <w:rPr>
          <w:rFonts w:cs="Arial"/>
          <w:color w:val="000000"/>
        </w:rPr>
        <w:t>b</w:t>
      </w:r>
      <w:r w:rsidRPr="00067675">
        <w:rPr>
          <w:rFonts w:cs="Arial"/>
          <w:color w:val="000000"/>
        </w:rPr>
        <w:t>urglary</w:t>
      </w:r>
      <w:r>
        <w:rPr>
          <w:rFonts w:cs="Arial"/>
          <w:color w:val="000000"/>
        </w:rPr>
        <w:t xml:space="preserve"> of dwellings</w:t>
      </w:r>
      <w:r w:rsidRPr="00067675">
        <w:rPr>
          <w:rFonts w:cs="Arial"/>
          <w:color w:val="000000"/>
        </w:rPr>
        <w:t xml:space="preserve"> </w:t>
      </w:r>
      <w:r w:rsidR="001209E8">
        <w:rPr>
          <w:rFonts w:cs="Arial"/>
          <w:color w:val="000000"/>
        </w:rPr>
        <w:t>increased</w:t>
      </w:r>
      <w:r w:rsidRPr="00067675">
        <w:rPr>
          <w:rFonts w:cs="Arial"/>
          <w:color w:val="000000"/>
        </w:rPr>
        <w:t xml:space="preserve"> by </w:t>
      </w:r>
      <w:r w:rsidR="001209E8">
        <w:rPr>
          <w:rFonts w:cs="Arial"/>
          <w:color w:val="000000"/>
        </w:rPr>
        <w:t>2</w:t>
      </w:r>
      <w:r>
        <w:rPr>
          <w:rFonts w:cs="Arial"/>
          <w:color w:val="000000"/>
        </w:rPr>
        <w:t>6</w:t>
      </w:r>
      <w:r w:rsidRPr="00067675">
        <w:rPr>
          <w:rFonts w:cs="Arial"/>
          <w:color w:val="000000"/>
        </w:rPr>
        <w:t>%</w:t>
      </w:r>
      <w:r>
        <w:rPr>
          <w:rFonts w:cs="Arial"/>
          <w:color w:val="000000"/>
        </w:rPr>
        <w:t xml:space="preserve"> </w:t>
      </w:r>
      <w:r w:rsidR="001209E8">
        <w:rPr>
          <w:rFonts w:cs="Arial"/>
          <w:color w:val="000000"/>
        </w:rPr>
        <w:t xml:space="preserve">(an additional 772 offences) </w:t>
      </w:r>
      <w:r>
        <w:rPr>
          <w:rFonts w:cs="Arial"/>
          <w:color w:val="000000"/>
        </w:rPr>
        <w:t>however</w:t>
      </w:r>
      <w:r w:rsidR="001209E8">
        <w:rPr>
          <w:rFonts w:cs="Arial"/>
          <w:color w:val="000000"/>
        </w:rPr>
        <w:t>,</w:t>
      </w:r>
      <w:r>
        <w:rPr>
          <w:rFonts w:cs="Arial"/>
          <w:color w:val="000000"/>
        </w:rPr>
        <w:t xml:space="preserve"> </w:t>
      </w:r>
      <w:r w:rsidR="005E7363">
        <w:rPr>
          <w:rFonts w:cs="Arial"/>
          <w:color w:val="000000"/>
        </w:rPr>
        <w:t>unlike</w:t>
      </w:r>
      <w:r w:rsidR="001209E8">
        <w:rPr>
          <w:rFonts w:cs="Arial"/>
          <w:color w:val="000000"/>
        </w:rPr>
        <w:t xml:space="preserve"> the fi</w:t>
      </w:r>
      <w:r w:rsidR="0015526A">
        <w:rPr>
          <w:rFonts w:cs="Arial"/>
          <w:color w:val="000000"/>
        </w:rPr>
        <w:t xml:space="preserve">gures for total recorded crime, the rate of increase has been </w:t>
      </w:r>
      <w:r w:rsidR="005E7363">
        <w:rPr>
          <w:rFonts w:cs="Arial"/>
          <w:color w:val="000000"/>
        </w:rPr>
        <w:t>continuing</w:t>
      </w:r>
      <w:r w:rsidR="0015526A">
        <w:rPr>
          <w:rFonts w:cs="Arial"/>
          <w:color w:val="000000"/>
        </w:rPr>
        <w:t xml:space="preserve"> since</w:t>
      </w:r>
      <w:r w:rsidR="005E7363">
        <w:rPr>
          <w:rFonts w:cs="Arial"/>
          <w:color w:val="000000"/>
        </w:rPr>
        <w:t xml:space="preserve"> April 2016. There was an increase of 31% for the 12 months to 30 September 2016 compared to the same period the previous year (an additional 1,003 offences).</w:t>
      </w:r>
    </w:p>
    <w:p w:rsidR="00777382" w:rsidRDefault="00777382" w:rsidP="00777382">
      <w:pPr>
        <w:pStyle w:val="NormalWeb"/>
        <w:spacing w:after="0"/>
        <w:rPr>
          <w:rFonts w:ascii="Arial" w:hAnsi="Arial" w:cs="Arial"/>
          <w:color w:val="000000"/>
        </w:rPr>
      </w:pPr>
      <w:r>
        <w:rPr>
          <w:rFonts w:ascii="Arial" w:hAnsi="Arial" w:cs="Arial"/>
          <w:color w:val="000000"/>
        </w:rPr>
        <w:lastRenderedPageBreak/>
        <w:t>When comparing the number of crimes recorded by the Police between 1 April 201</w:t>
      </w:r>
      <w:r w:rsidR="00DF3232">
        <w:rPr>
          <w:rFonts w:ascii="Arial" w:hAnsi="Arial" w:cs="Arial"/>
          <w:color w:val="000000"/>
        </w:rPr>
        <w:t>6</w:t>
      </w:r>
      <w:r>
        <w:rPr>
          <w:rFonts w:ascii="Arial" w:hAnsi="Arial" w:cs="Arial"/>
          <w:color w:val="000000"/>
        </w:rPr>
        <w:t xml:space="preserve"> </w:t>
      </w:r>
      <w:r w:rsidR="00332453">
        <w:rPr>
          <w:rFonts w:ascii="Arial" w:hAnsi="Arial" w:cs="Arial"/>
          <w:color w:val="000000"/>
        </w:rPr>
        <w:t>and</w:t>
      </w:r>
      <w:r>
        <w:rPr>
          <w:rFonts w:ascii="Arial" w:hAnsi="Arial" w:cs="Arial"/>
          <w:color w:val="000000"/>
        </w:rPr>
        <w:t xml:space="preserve"> 30 September 201</w:t>
      </w:r>
      <w:r w:rsidR="00DF3232">
        <w:rPr>
          <w:rFonts w:ascii="Arial" w:hAnsi="Arial" w:cs="Arial"/>
          <w:color w:val="000000"/>
        </w:rPr>
        <w:t>6</w:t>
      </w:r>
      <w:r>
        <w:rPr>
          <w:rFonts w:ascii="Arial" w:hAnsi="Arial" w:cs="Arial"/>
          <w:color w:val="000000"/>
        </w:rPr>
        <w:t xml:space="preserve"> with the same period the previous year;</w:t>
      </w:r>
      <w:r w:rsidR="00DF3232">
        <w:rPr>
          <w:rFonts w:ascii="Arial" w:hAnsi="Arial" w:cs="Arial"/>
          <w:color w:val="000000"/>
        </w:rPr>
        <w:t xml:space="preserve"> public order offences have increased by 64%, violence without injury by 59.6% and non-domestic burglary by 33.5%. As mentioned earlier these rises will be affected by stricter compliance with the National Crime Recording Standard and may not be completely due to an increase in risk. </w:t>
      </w:r>
    </w:p>
    <w:p w:rsidR="00A965EC" w:rsidRDefault="00A965EC" w:rsidP="00A965EC">
      <w:pPr>
        <w:rPr>
          <w:rFonts w:eastAsia="Times New Roman" w:cs="Arial"/>
          <w:color w:val="000000"/>
          <w:szCs w:val="24"/>
          <w:lang w:eastAsia="en-GB"/>
        </w:rPr>
      </w:pPr>
      <w:r w:rsidRPr="00A965EC">
        <w:rPr>
          <w:rFonts w:eastAsia="Times New Roman" w:cs="Arial"/>
          <w:color w:val="000000"/>
          <w:szCs w:val="24"/>
          <w:lang w:eastAsia="en-GB"/>
        </w:rPr>
        <w:t>Latest figures from the Crime Survey for England and Wales (CSEW), which is the best guide to trends for the population and offences it covers, estimated there were 6.4 million incidents of crime</w:t>
      </w:r>
      <w:r>
        <w:rPr>
          <w:rFonts w:eastAsia="Times New Roman" w:cs="Arial"/>
          <w:color w:val="000000"/>
          <w:szCs w:val="24"/>
          <w:lang w:eastAsia="en-GB"/>
        </w:rPr>
        <w:t xml:space="preserve"> in England and Wales</w:t>
      </w:r>
      <w:r w:rsidRPr="00A965EC">
        <w:rPr>
          <w:rFonts w:eastAsia="Times New Roman" w:cs="Arial"/>
          <w:color w:val="000000"/>
          <w:szCs w:val="24"/>
          <w:lang w:eastAsia="en-GB"/>
        </w:rPr>
        <w:t xml:space="preserve"> based on interviews in the survey year ending June 2016. This was not significantly different compared with the previous year’s estimate (6.5 million in the year ending June 2015). </w:t>
      </w:r>
      <w:r>
        <w:rPr>
          <w:rFonts w:eastAsia="Times New Roman" w:cs="Arial"/>
          <w:color w:val="000000"/>
          <w:szCs w:val="24"/>
          <w:lang w:eastAsia="en-GB"/>
        </w:rPr>
        <w:t xml:space="preserve"> </w:t>
      </w:r>
      <w:r w:rsidRPr="00A965EC">
        <w:rPr>
          <w:rFonts w:eastAsia="Times New Roman" w:cs="Arial"/>
          <w:color w:val="000000"/>
          <w:szCs w:val="24"/>
          <w:lang w:eastAsia="en-GB"/>
        </w:rPr>
        <w:t xml:space="preserve">CSEW estimates showed no significant change in levels of violence compared with the previous survey year, with the underlying trend fairly flat over the last few years. While the police recorded an annual rise of 24% in violence against the person offences, this is thought to largely reflect factors other than a rise in actual levels of violence. </w:t>
      </w:r>
    </w:p>
    <w:p w:rsidR="00A965EC" w:rsidRPr="00A965EC" w:rsidRDefault="00A965EC" w:rsidP="00A965EC">
      <w:pPr>
        <w:rPr>
          <w:rFonts w:eastAsia="Times New Roman" w:cs="Arial"/>
          <w:color w:val="000000"/>
          <w:szCs w:val="24"/>
          <w:lang w:eastAsia="en-GB"/>
        </w:rPr>
      </w:pPr>
      <w:r w:rsidRPr="00A965EC">
        <w:rPr>
          <w:rFonts w:eastAsia="Times New Roman" w:cs="Arial"/>
          <w:color w:val="000000"/>
          <w:szCs w:val="24"/>
          <w:lang w:eastAsia="en-GB"/>
        </w:rPr>
        <w:t>The CSEW do not generally provide subn</w:t>
      </w:r>
      <w:r>
        <w:rPr>
          <w:rFonts w:eastAsia="Times New Roman" w:cs="Arial"/>
          <w:color w:val="000000"/>
          <w:szCs w:val="24"/>
          <w:lang w:eastAsia="en-GB"/>
        </w:rPr>
        <w:t>ational breakdowns, however it is useful to know that whilst Police recorded crimes have increased the same cannot be said for the CSEW data.</w:t>
      </w:r>
    </w:p>
    <w:p w:rsidR="00A965EC" w:rsidRDefault="00A965EC" w:rsidP="00264E75">
      <w:pPr>
        <w:keepNext/>
        <w:keepLines/>
        <w:autoSpaceDE w:val="0"/>
        <w:autoSpaceDN w:val="0"/>
        <w:adjustRightInd w:val="0"/>
        <w:ind w:left="360" w:hanging="360"/>
        <w:jc w:val="both"/>
        <w:outlineLvl w:val="0"/>
        <w:rPr>
          <w:rFonts w:cs="Arial"/>
          <w:b/>
          <w:color w:val="000000"/>
          <w:sz w:val="20"/>
          <w:szCs w:val="20"/>
        </w:rPr>
      </w:pPr>
    </w:p>
    <w:p w:rsidR="00264E75" w:rsidRDefault="00264E75" w:rsidP="00264E75">
      <w:pPr>
        <w:keepNext/>
        <w:keepLines/>
        <w:autoSpaceDE w:val="0"/>
        <w:autoSpaceDN w:val="0"/>
        <w:adjustRightInd w:val="0"/>
        <w:ind w:left="360" w:hanging="360"/>
        <w:jc w:val="both"/>
        <w:outlineLvl w:val="0"/>
        <w:rPr>
          <w:rFonts w:cs="Arial"/>
          <w:b/>
          <w:color w:val="000000"/>
          <w:sz w:val="20"/>
          <w:szCs w:val="20"/>
        </w:rPr>
      </w:pPr>
      <w:r w:rsidRPr="0067423A">
        <w:rPr>
          <w:rFonts w:cs="Arial"/>
          <w:b/>
          <w:color w:val="000000"/>
          <w:sz w:val="20"/>
          <w:szCs w:val="20"/>
        </w:rPr>
        <w:t xml:space="preserve">Total Crime Bradford </w:t>
      </w:r>
      <w:r>
        <w:rPr>
          <w:rFonts w:cs="Arial"/>
          <w:b/>
          <w:color w:val="000000"/>
          <w:sz w:val="20"/>
          <w:szCs w:val="20"/>
        </w:rPr>
        <w:t>District</w:t>
      </w:r>
      <w:r w:rsidRPr="0067423A">
        <w:rPr>
          <w:rFonts w:cs="Arial"/>
          <w:b/>
          <w:color w:val="000000"/>
          <w:sz w:val="20"/>
          <w:szCs w:val="20"/>
        </w:rPr>
        <w:t xml:space="preserve"> </w:t>
      </w:r>
      <w:r w:rsidR="00E20524">
        <w:rPr>
          <w:rFonts w:cs="Arial"/>
          <w:b/>
          <w:color w:val="000000"/>
          <w:sz w:val="20"/>
          <w:szCs w:val="20"/>
        </w:rPr>
        <w:t>12 months ending 30 September 20</w:t>
      </w:r>
      <w:r>
        <w:rPr>
          <w:rFonts w:cs="Arial"/>
          <w:b/>
          <w:color w:val="000000"/>
          <w:sz w:val="20"/>
          <w:szCs w:val="20"/>
        </w:rPr>
        <w:t>1</w:t>
      </w:r>
      <w:r w:rsidR="00E20524">
        <w:rPr>
          <w:rFonts w:cs="Arial"/>
          <w:b/>
          <w:color w:val="000000"/>
          <w:sz w:val="20"/>
          <w:szCs w:val="20"/>
        </w:rPr>
        <w:t>6</w:t>
      </w:r>
      <w:r w:rsidRPr="0067423A">
        <w:rPr>
          <w:rFonts w:cs="Arial"/>
          <w:b/>
          <w:color w:val="000000"/>
          <w:sz w:val="20"/>
          <w:szCs w:val="20"/>
        </w:rPr>
        <w:t xml:space="preserve"> </w:t>
      </w:r>
    </w:p>
    <w:p w:rsidR="00E20524" w:rsidRDefault="00E20524" w:rsidP="00264E75">
      <w:pPr>
        <w:keepNext/>
        <w:keepLines/>
        <w:autoSpaceDE w:val="0"/>
        <w:autoSpaceDN w:val="0"/>
        <w:adjustRightInd w:val="0"/>
        <w:ind w:left="360" w:hanging="360"/>
        <w:jc w:val="both"/>
        <w:outlineLvl w:val="0"/>
        <w:rPr>
          <w:rFonts w:cs="Arial"/>
          <w:b/>
          <w:color w:val="000000"/>
          <w:sz w:val="20"/>
          <w:szCs w:val="20"/>
        </w:rPr>
      </w:pPr>
      <w:r>
        <w:rPr>
          <w:rFonts w:cs="Arial"/>
          <w:b/>
          <w:noProof/>
          <w:color w:val="000000"/>
          <w:sz w:val="20"/>
          <w:szCs w:val="20"/>
          <w:lang w:eastAsia="en-GB"/>
        </w:rPr>
        <w:drawing>
          <wp:inline distT="0" distB="0" distL="0" distR="0" wp14:anchorId="6B044482">
            <wp:extent cx="6438900" cy="32988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43863" cy="3301383"/>
                    </a:xfrm>
                    <a:prstGeom prst="rect">
                      <a:avLst/>
                    </a:prstGeom>
                    <a:noFill/>
                  </pic:spPr>
                </pic:pic>
              </a:graphicData>
            </a:graphic>
          </wp:inline>
        </w:drawing>
      </w:r>
    </w:p>
    <w:p w:rsidR="00E20524" w:rsidRDefault="00E20524" w:rsidP="00264E75">
      <w:pPr>
        <w:keepNext/>
        <w:keepLines/>
        <w:autoSpaceDE w:val="0"/>
        <w:autoSpaceDN w:val="0"/>
        <w:adjustRightInd w:val="0"/>
        <w:ind w:left="360" w:hanging="360"/>
        <w:jc w:val="both"/>
        <w:outlineLvl w:val="0"/>
        <w:rPr>
          <w:rFonts w:cs="Arial"/>
          <w:b/>
          <w:color w:val="000000"/>
          <w:sz w:val="20"/>
          <w:szCs w:val="20"/>
        </w:rPr>
      </w:pPr>
    </w:p>
    <w:p w:rsidR="00264E75" w:rsidRDefault="00264E75" w:rsidP="00264E75"/>
    <w:p w:rsidR="00264E75" w:rsidRPr="00F6491F" w:rsidRDefault="00264E75" w:rsidP="00F6491F">
      <w:pPr>
        <w:pStyle w:val="Heading1"/>
        <w:rPr>
          <w:rFonts w:cs="Arial"/>
        </w:rPr>
      </w:pPr>
      <w:r w:rsidRPr="00F6491F">
        <w:rPr>
          <w:rFonts w:cs="Arial"/>
        </w:rPr>
        <w:t xml:space="preserve">Re-offending </w:t>
      </w:r>
    </w:p>
    <w:p w:rsidR="005E2227" w:rsidRDefault="005E2227" w:rsidP="00264E75">
      <w:pPr>
        <w:autoSpaceDE w:val="0"/>
        <w:autoSpaceDN w:val="0"/>
        <w:adjustRightInd w:val="0"/>
      </w:pPr>
      <w:r>
        <w:t>In 2014 around 10,680 adult and juvenile offenders were cautioned, received a non-custodial conviction at court or released from custody</w:t>
      </w:r>
      <w:r w:rsidR="00CB266C">
        <w:t xml:space="preserve"> in Bradford</w:t>
      </w:r>
      <w:r>
        <w:t xml:space="preserve">. Around </w:t>
      </w:r>
      <w:r w:rsidR="00CB266C">
        <w:t>2,850</w:t>
      </w:r>
      <w:r>
        <w:t xml:space="preserve"> of these offenders committed a proven </w:t>
      </w:r>
      <w:proofErr w:type="spellStart"/>
      <w:r>
        <w:t>reoffence</w:t>
      </w:r>
      <w:proofErr w:type="spellEnd"/>
      <w:r>
        <w:t xml:space="preserve"> within a year. This gives an overall proven reoffen</w:t>
      </w:r>
      <w:r w:rsidR="00CB266C">
        <w:t>ding rate of 26.7</w:t>
      </w:r>
      <w:r>
        <w:t>%; this rate has remained fairly stable, fluctuating between around 26% and 2</w:t>
      </w:r>
      <w:r w:rsidR="00CB266C">
        <w:t>8</w:t>
      </w:r>
      <w:r>
        <w:t>% since 2004. The 2014 reoffending rate represents a small decrease of 0.</w:t>
      </w:r>
      <w:r w:rsidR="00CB266C">
        <w:t>4</w:t>
      </w:r>
      <w:r>
        <w:t xml:space="preserve"> percentage points compared to the previous 12 months and a fall of 1.</w:t>
      </w:r>
      <w:r w:rsidR="00CB266C">
        <w:t>6</w:t>
      </w:r>
      <w:r>
        <w:t xml:space="preserve"> percentage points since 2004. Around </w:t>
      </w:r>
      <w:r w:rsidR="00CB266C">
        <w:t>9,780</w:t>
      </w:r>
      <w:r>
        <w:t xml:space="preserve"> proven </w:t>
      </w:r>
      <w:proofErr w:type="spellStart"/>
      <w:r>
        <w:t>reoffences</w:t>
      </w:r>
      <w:proofErr w:type="spellEnd"/>
      <w:r>
        <w:t xml:space="preserve"> were committed over the one year follow-up period, with those that reoffe</w:t>
      </w:r>
      <w:r w:rsidR="00CB266C">
        <w:t>nded committing, on average, 3.43</w:t>
      </w:r>
      <w:r>
        <w:t xml:space="preserve"> </w:t>
      </w:r>
      <w:proofErr w:type="spellStart"/>
      <w:r>
        <w:t>reoffences</w:t>
      </w:r>
      <w:proofErr w:type="spellEnd"/>
      <w:r>
        <w:t xml:space="preserve"> each. The highest reoff</w:t>
      </w:r>
      <w:r w:rsidR="00CB266C">
        <w:t>ending rate by age group is 40.2</w:t>
      </w:r>
      <w:r>
        <w:t>%, for offenders aged 10 to 14. The number of offenders in this cohort has fallen by around 84% since 2004. The reoffending rate for this age group overtook offenders aged 15 to 17 in 201</w:t>
      </w:r>
      <w:r w:rsidR="00CB266C">
        <w:t>2</w:t>
      </w:r>
      <w:r>
        <w:t>, who previously had a consistently higher reoffending rate but are now second highest.</w:t>
      </w:r>
    </w:p>
    <w:p w:rsidR="00CB266C" w:rsidRDefault="00CB266C" w:rsidP="00264E75">
      <w:pPr>
        <w:autoSpaceDE w:val="0"/>
        <w:autoSpaceDN w:val="0"/>
        <w:adjustRightInd w:val="0"/>
      </w:pPr>
    </w:p>
    <w:p w:rsidR="00CB266C" w:rsidRDefault="00CB266C" w:rsidP="00264E75">
      <w:pPr>
        <w:autoSpaceDE w:val="0"/>
        <w:autoSpaceDN w:val="0"/>
        <w:adjustRightInd w:val="0"/>
      </w:pPr>
    </w:p>
    <w:p w:rsidR="005E2227" w:rsidRDefault="005E2227" w:rsidP="00264E75">
      <w:pPr>
        <w:autoSpaceDE w:val="0"/>
        <w:autoSpaceDN w:val="0"/>
        <w:adjustRightInd w:val="0"/>
        <w:rPr>
          <w:rFonts w:cs="Arial"/>
          <w:color w:val="000000"/>
        </w:rPr>
      </w:pPr>
    </w:p>
    <w:tbl>
      <w:tblPr>
        <w:tblW w:w="10080" w:type="dxa"/>
        <w:tblInd w:w="93" w:type="dxa"/>
        <w:tblLook w:val="04A0" w:firstRow="1" w:lastRow="0" w:firstColumn="1" w:lastColumn="0" w:noHBand="0" w:noVBand="1"/>
      </w:tblPr>
      <w:tblGrid>
        <w:gridCol w:w="2142"/>
        <w:gridCol w:w="2693"/>
        <w:gridCol w:w="2977"/>
        <w:gridCol w:w="2268"/>
      </w:tblGrid>
      <w:tr w:rsidR="005E2227" w:rsidRPr="005E2227" w:rsidTr="005E2227">
        <w:trPr>
          <w:trHeight w:val="330"/>
        </w:trPr>
        <w:tc>
          <w:tcPr>
            <w:tcW w:w="10080" w:type="dxa"/>
            <w:gridSpan w:val="4"/>
            <w:tcBorders>
              <w:top w:val="single" w:sz="8" w:space="0" w:color="auto"/>
              <w:left w:val="single" w:sz="8" w:space="0" w:color="auto"/>
              <w:bottom w:val="single" w:sz="8" w:space="0" w:color="auto"/>
              <w:right w:val="nil"/>
            </w:tcBorders>
            <w:shd w:val="clear" w:color="000000" w:fill="1F497D"/>
            <w:vAlign w:val="center"/>
            <w:hideMark/>
          </w:tcPr>
          <w:p w:rsidR="005E2227" w:rsidRPr="005E2227" w:rsidRDefault="005E2227" w:rsidP="005E2227">
            <w:pPr>
              <w:jc w:val="center"/>
              <w:rPr>
                <w:rFonts w:eastAsia="Times New Roman" w:cs="Arial"/>
                <w:b/>
                <w:bCs/>
                <w:color w:val="FFFFFF"/>
                <w:szCs w:val="24"/>
                <w:lang w:eastAsia="en-GB"/>
              </w:rPr>
            </w:pPr>
            <w:r w:rsidRPr="005E2227">
              <w:rPr>
                <w:rFonts w:eastAsia="Times New Roman" w:cs="Arial"/>
                <w:b/>
                <w:bCs/>
                <w:color w:val="FFFFFF" w:themeColor="background1"/>
                <w:szCs w:val="24"/>
                <w:lang w:eastAsia="en-GB"/>
              </w:rPr>
              <w:lastRenderedPageBreak/>
              <w:t>Proven reoffending statistics quarterly: January to December 2014</w:t>
            </w:r>
          </w:p>
        </w:tc>
      </w:tr>
      <w:tr w:rsidR="005E2227" w:rsidRPr="005E2227" w:rsidTr="005E2227">
        <w:trPr>
          <w:trHeight w:val="1045"/>
        </w:trPr>
        <w:tc>
          <w:tcPr>
            <w:tcW w:w="2142" w:type="dxa"/>
            <w:tcBorders>
              <w:top w:val="nil"/>
              <w:left w:val="single" w:sz="8" w:space="0" w:color="auto"/>
              <w:bottom w:val="single" w:sz="8" w:space="0" w:color="auto"/>
              <w:right w:val="single" w:sz="8" w:space="0" w:color="auto"/>
            </w:tcBorders>
            <w:shd w:val="clear" w:color="000000" w:fill="1F497D"/>
            <w:vAlign w:val="center"/>
            <w:hideMark/>
          </w:tcPr>
          <w:p w:rsidR="005E2227" w:rsidRPr="005E2227" w:rsidRDefault="005E2227" w:rsidP="005E2227">
            <w:pPr>
              <w:rPr>
                <w:rFonts w:eastAsia="Times New Roman" w:cs="Arial"/>
                <w:b/>
                <w:bCs/>
                <w:color w:val="FFFFFF"/>
                <w:szCs w:val="24"/>
                <w:lang w:eastAsia="en-GB"/>
              </w:rPr>
            </w:pPr>
            <w:r w:rsidRPr="005E2227">
              <w:rPr>
                <w:rFonts w:eastAsia="Times New Roman" w:cs="Arial"/>
                <w:b/>
                <w:bCs/>
                <w:color w:val="FFFFFF" w:themeColor="background1"/>
                <w:szCs w:val="24"/>
                <w:lang w:eastAsia="en-GB"/>
              </w:rPr>
              <w:t>Local Authority</w:t>
            </w:r>
          </w:p>
        </w:tc>
        <w:tc>
          <w:tcPr>
            <w:tcW w:w="2693" w:type="dxa"/>
            <w:tcBorders>
              <w:top w:val="nil"/>
              <w:left w:val="nil"/>
              <w:bottom w:val="single" w:sz="8" w:space="0" w:color="auto"/>
              <w:right w:val="single" w:sz="8" w:space="0" w:color="auto"/>
            </w:tcBorders>
            <w:shd w:val="clear" w:color="000000" w:fill="1F497D"/>
            <w:vAlign w:val="center"/>
            <w:hideMark/>
          </w:tcPr>
          <w:p w:rsidR="005E2227" w:rsidRPr="005E2227" w:rsidRDefault="005E2227" w:rsidP="005E2227">
            <w:pPr>
              <w:jc w:val="center"/>
              <w:rPr>
                <w:rFonts w:eastAsia="Times New Roman" w:cs="Arial"/>
                <w:b/>
                <w:bCs/>
                <w:color w:val="FFFFFF"/>
                <w:szCs w:val="24"/>
                <w:lang w:eastAsia="en-GB"/>
              </w:rPr>
            </w:pPr>
            <w:r w:rsidRPr="005E2227">
              <w:rPr>
                <w:rFonts w:eastAsia="Times New Roman" w:cs="Arial"/>
                <w:b/>
                <w:bCs/>
                <w:color w:val="FFFFFF" w:themeColor="background1"/>
                <w:szCs w:val="24"/>
                <w:lang w:eastAsia="en-GB"/>
              </w:rPr>
              <w:t>Number of offenders in cohort</w:t>
            </w:r>
          </w:p>
        </w:tc>
        <w:tc>
          <w:tcPr>
            <w:tcW w:w="2977" w:type="dxa"/>
            <w:tcBorders>
              <w:top w:val="nil"/>
              <w:left w:val="nil"/>
              <w:bottom w:val="single" w:sz="8" w:space="0" w:color="auto"/>
              <w:right w:val="single" w:sz="8" w:space="0" w:color="auto"/>
            </w:tcBorders>
            <w:shd w:val="clear" w:color="000000" w:fill="1F497D"/>
            <w:vAlign w:val="center"/>
            <w:hideMark/>
          </w:tcPr>
          <w:p w:rsidR="005E2227" w:rsidRPr="005E2227" w:rsidRDefault="005E2227" w:rsidP="005E2227">
            <w:pPr>
              <w:jc w:val="center"/>
              <w:rPr>
                <w:rFonts w:eastAsia="Times New Roman" w:cs="Arial"/>
                <w:b/>
                <w:bCs/>
                <w:color w:val="FFFFFF"/>
                <w:szCs w:val="24"/>
                <w:lang w:eastAsia="en-GB"/>
              </w:rPr>
            </w:pPr>
            <w:r w:rsidRPr="005E2227">
              <w:rPr>
                <w:rFonts w:eastAsia="Times New Roman" w:cs="Arial"/>
                <w:b/>
                <w:bCs/>
                <w:color w:val="FFFFFF" w:themeColor="background1"/>
                <w:szCs w:val="24"/>
                <w:lang w:eastAsia="en-GB"/>
              </w:rPr>
              <w:t xml:space="preserve">Average number of </w:t>
            </w:r>
            <w:proofErr w:type="spellStart"/>
            <w:r w:rsidRPr="005E2227">
              <w:rPr>
                <w:rFonts w:eastAsia="Times New Roman" w:cs="Arial"/>
                <w:b/>
                <w:bCs/>
                <w:color w:val="FFFFFF" w:themeColor="background1"/>
                <w:szCs w:val="24"/>
                <w:lang w:eastAsia="en-GB"/>
              </w:rPr>
              <w:t>reoffences</w:t>
            </w:r>
            <w:proofErr w:type="spellEnd"/>
            <w:r w:rsidRPr="005E2227">
              <w:rPr>
                <w:rFonts w:eastAsia="Times New Roman" w:cs="Arial"/>
                <w:b/>
                <w:bCs/>
                <w:color w:val="FFFFFF" w:themeColor="background1"/>
                <w:szCs w:val="24"/>
                <w:lang w:eastAsia="en-GB"/>
              </w:rPr>
              <w:t xml:space="preserve"> per reoffender  </w:t>
            </w:r>
          </w:p>
        </w:tc>
        <w:tc>
          <w:tcPr>
            <w:tcW w:w="2268" w:type="dxa"/>
            <w:tcBorders>
              <w:top w:val="nil"/>
              <w:left w:val="nil"/>
              <w:bottom w:val="single" w:sz="8" w:space="0" w:color="auto"/>
              <w:right w:val="single" w:sz="8" w:space="0" w:color="auto"/>
            </w:tcBorders>
            <w:shd w:val="clear" w:color="000000" w:fill="1F497D"/>
            <w:vAlign w:val="center"/>
            <w:hideMark/>
          </w:tcPr>
          <w:p w:rsidR="005E2227" w:rsidRPr="005E2227" w:rsidRDefault="005E2227" w:rsidP="005E2227">
            <w:pPr>
              <w:jc w:val="center"/>
              <w:rPr>
                <w:rFonts w:eastAsia="Times New Roman" w:cs="Arial"/>
                <w:b/>
                <w:bCs/>
                <w:color w:val="FFFFFF"/>
                <w:szCs w:val="24"/>
                <w:lang w:eastAsia="en-GB"/>
              </w:rPr>
            </w:pPr>
            <w:r w:rsidRPr="005E2227">
              <w:rPr>
                <w:rFonts w:eastAsia="Times New Roman" w:cs="Arial"/>
                <w:b/>
                <w:bCs/>
                <w:color w:val="FFFFFF" w:themeColor="background1"/>
                <w:szCs w:val="24"/>
                <w:lang w:eastAsia="en-GB"/>
              </w:rPr>
              <w:t xml:space="preserve">Proportion of offenders who reoffend (%)  </w:t>
            </w:r>
          </w:p>
        </w:tc>
      </w:tr>
      <w:tr w:rsidR="005E2227" w:rsidRPr="005E2227" w:rsidTr="005E2227">
        <w:trPr>
          <w:trHeight w:val="315"/>
        </w:trPr>
        <w:tc>
          <w:tcPr>
            <w:tcW w:w="2142" w:type="dxa"/>
            <w:tcBorders>
              <w:top w:val="nil"/>
              <w:left w:val="single" w:sz="8" w:space="0" w:color="auto"/>
              <w:bottom w:val="single" w:sz="8" w:space="0" w:color="C0C0C0"/>
              <w:right w:val="single" w:sz="8" w:space="0" w:color="auto"/>
            </w:tcBorders>
            <w:shd w:val="clear" w:color="auto" w:fill="auto"/>
            <w:vAlign w:val="center"/>
            <w:hideMark/>
          </w:tcPr>
          <w:p w:rsidR="005E2227" w:rsidRPr="005E2227" w:rsidRDefault="005E2227" w:rsidP="005E2227">
            <w:pPr>
              <w:rPr>
                <w:rFonts w:eastAsia="Times New Roman" w:cs="Arial"/>
                <w:color w:val="000000"/>
                <w:szCs w:val="24"/>
                <w:lang w:eastAsia="en-GB"/>
              </w:rPr>
            </w:pPr>
            <w:r w:rsidRPr="005E2227">
              <w:rPr>
                <w:rFonts w:eastAsia="Times New Roman" w:cs="Arial"/>
                <w:color w:val="000000"/>
                <w:szCs w:val="24"/>
                <w:lang w:eastAsia="en-GB"/>
              </w:rPr>
              <w:t>Leeds</w:t>
            </w:r>
          </w:p>
        </w:tc>
        <w:tc>
          <w:tcPr>
            <w:tcW w:w="2693" w:type="dxa"/>
            <w:tcBorders>
              <w:top w:val="nil"/>
              <w:left w:val="nil"/>
              <w:bottom w:val="single" w:sz="8" w:space="0" w:color="C0C0C0"/>
              <w:right w:val="single" w:sz="8" w:space="0" w:color="auto"/>
            </w:tcBorders>
            <w:shd w:val="clear" w:color="auto" w:fill="auto"/>
            <w:vAlign w:val="center"/>
            <w:hideMark/>
          </w:tcPr>
          <w:p w:rsidR="005E2227" w:rsidRPr="005E2227" w:rsidRDefault="005E2227" w:rsidP="005E2227">
            <w:pPr>
              <w:jc w:val="right"/>
              <w:rPr>
                <w:rFonts w:eastAsia="Times New Roman" w:cs="Arial"/>
                <w:color w:val="000000"/>
                <w:szCs w:val="24"/>
                <w:lang w:eastAsia="en-GB"/>
              </w:rPr>
            </w:pPr>
            <w:r w:rsidRPr="005E2227">
              <w:rPr>
                <w:rFonts w:eastAsia="Times New Roman" w:cs="Arial"/>
                <w:color w:val="000000"/>
                <w:szCs w:val="24"/>
                <w:lang w:eastAsia="en-GB"/>
              </w:rPr>
              <w:t>16,056</w:t>
            </w:r>
          </w:p>
        </w:tc>
        <w:tc>
          <w:tcPr>
            <w:tcW w:w="2977" w:type="dxa"/>
            <w:tcBorders>
              <w:top w:val="nil"/>
              <w:left w:val="nil"/>
              <w:bottom w:val="single" w:sz="8" w:space="0" w:color="C0C0C0"/>
              <w:right w:val="single" w:sz="8" w:space="0" w:color="auto"/>
            </w:tcBorders>
            <w:shd w:val="clear" w:color="auto" w:fill="auto"/>
            <w:vAlign w:val="center"/>
            <w:hideMark/>
          </w:tcPr>
          <w:p w:rsidR="005E2227" w:rsidRPr="005E2227" w:rsidRDefault="005E2227" w:rsidP="005E2227">
            <w:pPr>
              <w:jc w:val="right"/>
              <w:rPr>
                <w:rFonts w:eastAsia="Times New Roman" w:cs="Arial"/>
                <w:color w:val="000000"/>
                <w:szCs w:val="24"/>
                <w:lang w:eastAsia="en-GB"/>
              </w:rPr>
            </w:pPr>
            <w:r w:rsidRPr="005E2227">
              <w:rPr>
                <w:rFonts w:eastAsia="Times New Roman" w:cs="Arial"/>
                <w:color w:val="000000"/>
                <w:szCs w:val="24"/>
                <w:lang w:eastAsia="en-GB"/>
              </w:rPr>
              <w:t>3.26</w:t>
            </w:r>
          </w:p>
        </w:tc>
        <w:tc>
          <w:tcPr>
            <w:tcW w:w="2268" w:type="dxa"/>
            <w:tcBorders>
              <w:top w:val="nil"/>
              <w:left w:val="nil"/>
              <w:bottom w:val="single" w:sz="8" w:space="0" w:color="C0C0C0"/>
              <w:right w:val="single" w:sz="8" w:space="0" w:color="auto"/>
            </w:tcBorders>
            <w:shd w:val="clear" w:color="auto" w:fill="auto"/>
            <w:vAlign w:val="center"/>
            <w:hideMark/>
          </w:tcPr>
          <w:p w:rsidR="005E2227" w:rsidRPr="005E2227" w:rsidRDefault="005E2227" w:rsidP="005E2227">
            <w:pPr>
              <w:jc w:val="right"/>
              <w:rPr>
                <w:rFonts w:eastAsia="Times New Roman" w:cs="Arial"/>
                <w:color w:val="000000"/>
                <w:szCs w:val="24"/>
                <w:lang w:eastAsia="en-GB"/>
              </w:rPr>
            </w:pPr>
            <w:r w:rsidRPr="005E2227">
              <w:rPr>
                <w:rFonts w:eastAsia="Times New Roman" w:cs="Arial"/>
                <w:color w:val="000000"/>
                <w:szCs w:val="24"/>
                <w:lang w:eastAsia="en-GB"/>
              </w:rPr>
              <w:t>28.30%</w:t>
            </w:r>
          </w:p>
        </w:tc>
      </w:tr>
      <w:tr w:rsidR="005E2227" w:rsidRPr="005E2227" w:rsidTr="005E2227">
        <w:trPr>
          <w:trHeight w:val="330"/>
        </w:trPr>
        <w:tc>
          <w:tcPr>
            <w:tcW w:w="2142" w:type="dxa"/>
            <w:tcBorders>
              <w:top w:val="nil"/>
              <w:left w:val="single" w:sz="8" w:space="0" w:color="auto"/>
              <w:bottom w:val="single" w:sz="8" w:space="0" w:color="C0C0C0"/>
              <w:right w:val="single" w:sz="8" w:space="0" w:color="auto"/>
            </w:tcBorders>
            <w:shd w:val="clear" w:color="auto" w:fill="auto"/>
            <w:vAlign w:val="center"/>
            <w:hideMark/>
          </w:tcPr>
          <w:p w:rsidR="005E2227" w:rsidRPr="005E2227" w:rsidRDefault="005E2227" w:rsidP="005E2227">
            <w:pPr>
              <w:rPr>
                <w:rFonts w:eastAsia="Times New Roman" w:cs="Arial"/>
                <w:b/>
                <w:bCs/>
                <w:color w:val="000000"/>
                <w:szCs w:val="24"/>
                <w:lang w:eastAsia="en-GB"/>
              </w:rPr>
            </w:pPr>
            <w:r w:rsidRPr="005E2227">
              <w:rPr>
                <w:rFonts w:eastAsia="Times New Roman" w:cs="Arial"/>
                <w:b/>
                <w:bCs/>
                <w:color w:val="000000"/>
                <w:szCs w:val="24"/>
                <w:lang w:eastAsia="en-GB"/>
              </w:rPr>
              <w:t>Bradford</w:t>
            </w:r>
          </w:p>
        </w:tc>
        <w:tc>
          <w:tcPr>
            <w:tcW w:w="2693" w:type="dxa"/>
            <w:tcBorders>
              <w:top w:val="nil"/>
              <w:left w:val="nil"/>
              <w:bottom w:val="single" w:sz="8" w:space="0" w:color="C0C0C0"/>
              <w:right w:val="single" w:sz="8" w:space="0" w:color="auto"/>
            </w:tcBorders>
            <w:shd w:val="clear" w:color="auto" w:fill="auto"/>
            <w:vAlign w:val="center"/>
            <w:hideMark/>
          </w:tcPr>
          <w:p w:rsidR="005E2227" w:rsidRPr="005E2227" w:rsidRDefault="005E2227" w:rsidP="005E2227">
            <w:pPr>
              <w:jc w:val="right"/>
              <w:rPr>
                <w:rFonts w:eastAsia="Times New Roman" w:cs="Arial"/>
                <w:b/>
                <w:bCs/>
                <w:color w:val="000000"/>
                <w:szCs w:val="24"/>
                <w:lang w:eastAsia="en-GB"/>
              </w:rPr>
            </w:pPr>
            <w:r w:rsidRPr="005E2227">
              <w:rPr>
                <w:rFonts w:eastAsia="Times New Roman" w:cs="Arial"/>
                <w:b/>
                <w:bCs/>
                <w:color w:val="000000"/>
                <w:szCs w:val="24"/>
                <w:lang w:eastAsia="en-GB"/>
              </w:rPr>
              <w:t>10,676</w:t>
            </w:r>
          </w:p>
        </w:tc>
        <w:tc>
          <w:tcPr>
            <w:tcW w:w="2977" w:type="dxa"/>
            <w:tcBorders>
              <w:top w:val="nil"/>
              <w:left w:val="nil"/>
              <w:bottom w:val="single" w:sz="8" w:space="0" w:color="C0C0C0"/>
              <w:right w:val="single" w:sz="8" w:space="0" w:color="auto"/>
            </w:tcBorders>
            <w:shd w:val="clear" w:color="auto" w:fill="auto"/>
            <w:vAlign w:val="center"/>
            <w:hideMark/>
          </w:tcPr>
          <w:p w:rsidR="005E2227" w:rsidRPr="005E2227" w:rsidRDefault="005E2227" w:rsidP="005E2227">
            <w:pPr>
              <w:jc w:val="right"/>
              <w:rPr>
                <w:rFonts w:eastAsia="Times New Roman" w:cs="Arial"/>
                <w:b/>
                <w:bCs/>
                <w:color w:val="000000"/>
                <w:szCs w:val="24"/>
                <w:lang w:eastAsia="en-GB"/>
              </w:rPr>
            </w:pPr>
            <w:r w:rsidRPr="005E2227">
              <w:rPr>
                <w:rFonts w:eastAsia="Times New Roman" w:cs="Arial"/>
                <w:b/>
                <w:bCs/>
                <w:color w:val="000000"/>
                <w:szCs w:val="24"/>
                <w:lang w:eastAsia="en-GB"/>
              </w:rPr>
              <w:t>3.43</w:t>
            </w:r>
          </w:p>
        </w:tc>
        <w:tc>
          <w:tcPr>
            <w:tcW w:w="2268" w:type="dxa"/>
            <w:tcBorders>
              <w:top w:val="nil"/>
              <w:left w:val="nil"/>
              <w:bottom w:val="single" w:sz="8" w:space="0" w:color="C0C0C0"/>
              <w:right w:val="single" w:sz="8" w:space="0" w:color="auto"/>
            </w:tcBorders>
            <w:shd w:val="clear" w:color="auto" w:fill="auto"/>
            <w:vAlign w:val="center"/>
            <w:hideMark/>
          </w:tcPr>
          <w:p w:rsidR="005E2227" w:rsidRPr="005E2227" w:rsidRDefault="005E2227" w:rsidP="005E2227">
            <w:pPr>
              <w:jc w:val="right"/>
              <w:rPr>
                <w:rFonts w:eastAsia="Times New Roman" w:cs="Arial"/>
                <w:b/>
                <w:bCs/>
                <w:color w:val="000000"/>
                <w:szCs w:val="24"/>
                <w:lang w:eastAsia="en-GB"/>
              </w:rPr>
            </w:pPr>
            <w:r w:rsidRPr="005E2227">
              <w:rPr>
                <w:rFonts w:eastAsia="Times New Roman" w:cs="Arial"/>
                <w:b/>
                <w:bCs/>
                <w:color w:val="000000"/>
                <w:szCs w:val="24"/>
                <w:lang w:eastAsia="en-GB"/>
              </w:rPr>
              <w:t>26.70%</w:t>
            </w:r>
          </w:p>
        </w:tc>
      </w:tr>
      <w:tr w:rsidR="005E2227" w:rsidRPr="005E2227" w:rsidTr="005E2227">
        <w:trPr>
          <w:trHeight w:val="315"/>
        </w:trPr>
        <w:tc>
          <w:tcPr>
            <w:tcW w:w="2142" w:type="dxa"/>
            <w:tcBorders>
              <w:top w:val="nil"/>
              <w:left w:val="single" w:sz="8" w:space="0" w:color="auto"/>
              <w:bottom w:val="single" w:sz="8" w:space="0" w:color="C0C0C0"/>
              <w:right w:val="single" w:sz="8" w:space="0" w:color="auto"/>
            </w:tcBorders>
            <w:shd w:val="clear" w:color="auto" w:fill="auto"/>
            <w:vAlign w:val="center"/>
            <w:hideMark/>
          </w:tcPr>
          <w:p w:rsidR="005E2227" w:rsidRPr="005E2227" w:rsidRDefault="005E2227" w:rsidP="005E2227">
            <w:pPr>
              <w:rPr>
                <w:rFonts w:eastAsia="Times New Roman" w:cs="Arial"/>
                <w:color w:val="000000"/>
                <w:szCs w:val="24"/>
                <w:lang w:eastAsia="en-GB"/>
              </w:rPr>
            </w:pPr>
            <w:r w:rsidRPr="005E2227">
              <w:rPr>
                <w:rFonts w:eastAsia="Times New Roman" w:cs="Arial"/>
                <w:color w:val="000000"/>
                <w:szCs w:val="24"/>
                <w:lang w:eastAsia="en-GB"/>
              </w:rPr>
              <w:t>Wakefield</w:t>
            </w:r>
          </w:p>
        </w:tc>
        <w:tc>
          <w:tcPr>
            <w:tcW w:w="2693" w:type="dxa"/>
            <w:tcBorders>
              <w:top w:val="nil"/>
              <w:left w:val="nil"/>
              <w:bottom w:val="single" w:sz="8" w:space="0" w:color="C0C0C0"/>
              <w:right w:val="single" w:sz="8" w:space="0" w:color="auto"/>
            </w:tcBorders>
            <w:shd w:val="clear" w:color="auto" w:fill="auto"/>
            <w:vAlign w:val="center"/>
            <w:hideMark/>
          </w:tcPr>
          <w:p w:rsidR="005E2227" w:rsidRPr="005E2227" w:rsidRDefault="005E2227" w:rsidP="005E2227">
            <w:pPr>
              <w:jc w:val="right"/>
              <w:rPr>
                <w:rFonts w:eastAsia="Times New Roman" w:cs="Arial"/>
                <w:color w:val="000000"/>
                <w:szCs w:val="24"/>
                <w:lang w:eastAsia="en-GB"/>
              </w:rPr>
            </w:pPr>
            <w:r w:rsidRPr="005E2227">
              <w:rPr>
                <w:rFonts w:eastAsia="Times New Roman" w:cs="Arial"/>
                <w:color w:val="000000"/>
                <w:szCs w:val="24"/>
                <w:lang w:eastAsia="en-GB"/>
              </w:rPr>
              <w:t>5,747</w:t>
            </w:r>
          </w:p>
        </w:tc>
        <w:tc>
          <w:tcPr>
            <w:tcW w:w="2977" w:type="dxa"/>
            <w:tcBorders>
              <w:top w:val="nil"/>
              <w:left w:val="nil"/>
              <w:bottom w:val="single" w:sz="8" w:space="0" w:color="C0C0C0"/>
              <w:right w:val="single" w:sz="8" w:space="0" w:color="auto"/>
            </w:tcBorders>
            <w:shd w:val="clear" w:color="auto" w:fill="auto"/>
            <w:vAlign w:val="center"/>
            <w:hideMark/>
          </w:tcPr>
          <w:p w:rsidR="005E2227" w:rsidRPr="005E2227" w:rsidRDefault="005E2227" w:rsidP="005E2227">
            <w:pPr>
              <w:jc w:val="right"/>
              <w:rPr>
                <w:rFonts w:eastAsia="Times New Roman" w:cs="Arial"/>
                <w:color w:val="000000"/>
                <w:szCs w:val="24"/>
                <w:lang w:eastAsia="en-GB"/>
              </w:rPr>
            </w:pPr>
            <w:r w:rsidRPr="005E2227">
              <w:rPr>
                <w:rFonts w:eastAsia="Times New Roman" w:cs="Arial"/>
                <w:color w:val="000000"/>
                <w:szCs w:val="24"/>
                <w:lang w:eastAsia="en-GB"/>
              </w:rPr>
              <w:t>3.27</w:t>
            </w:r>
          </w:p>
        </w:tc>
        <w:tc>
          <w:tcPr>
            <w:tcW w:w="2268" w:type="dxa"/>
            <w:tcBorders>
              <w:top w:val="nil"/>
              <w:left w:val="nil"/>
              <w:bottom w:val="single" w:sz="8" w:space="0" w:color="C0C0C0"/>
              <w:right w:val="single" w:sz="8" w:space="0" w:color="auto"/>
            </w:tcBorders>
            <w:shd w:val="clear" w:color="auto" w:fill="auto"/>
            <w:vAlign w:val="center"/>
            <w:hideMark/>
          </w:tcPr>
          <w:p w:rsidR="005E2227" w:rsidRPr="005E2227" w:rsidRDefault="005E2227" w:rsidP="005E2227">
            <w:pPr>
              <w:jc w:val="right"/>
              <w:rPr>
                <w:rFonts w:eastAsia="Times New Roman" w:cs="Arial"/>
                <w:color w:val="000000"/>
                <w:szCs w:val="24"/>
                <w:lang w:eastAsia="en-GB"/>
              </w:rPr>
            </w:pPr>
            <w:r w:rsidRPr="005E2227">
              <w:rPr>
                <w:rFonts w:eastAsia="Times New Roman" w:cs="Arial"/>
                <w:color w:val="000000"/>
                <w:szCs w:val="24"/>
                <w:lang w:eastAsia="en-GB"/>
              </w:rPr>
              <w:t>26.70%</w:t>
            </w:r>
          </w:p>
        </w:tc>
      </w:tr>
      <w:tr w:rsidR="005E2227" w:rsidRPr="005E2227" w:rsidTr="005E2227">
        <w:trPr>
          <w:trHeight w:val="315"/>
        </w:trPr>
        <w:tc>
          <w:tcPr>
            <w:tcW w:w="2142" w:type="dxa"/>
            <w:tcBorders>
              <w:top w:val="nil"/>
              <w:left w:val="single" w:sz="8" w:space="0" w:color="auto"/>
              <w:bottom w:val="single" w:sz="8" w:space="0" w:color="C0C0C0"/>
              <w:right w:val="single" w:sz="8" w:space="0" w:color="auto"/>
            </w:tcBorders>
            <w:shd w:val="clear" w:color="auto" w:fill="auto"/>
            <w:vAlign w:val="center"/>
            <w:hideMark/>
          </w:tcPr>
          <w:p w:rsidR="005E2227" w:rsidRPr="005E2227" w:rsidRDefault="005E2227" w:rsidP="005E2227">
            <w:pPr>
              <w:rPr>
                <w:rFonts w:eastAsia="Times New Roman" w:cs="Arial"/>
                <w:color w:val="000000"/>
                <w:szCs w:val="24"/>
                <w:lang w:eastAsia="en-GB"/>
              </w:rPr>
            </w:pPr>
            <w:r w:rsidRPr="005E2227">
              <w:rPr>
                <w:rFonts w:eastAsia="Times New Roman" w:cs="Arial"/>
                <w:color w:val="000000"/>
                <w:szCs w:val="24"/>
                <w:lang w:eastAsia="en-GB"/>
              </w:rPr>
              <w:t>Calderdale</w:t>
            </w:r>
          </w:p>
        </w:tc>
        <w:tc>
          <w:tcPr>
            <w:tcW w:w="2693" w:type="dxa"/>
            <w:tcBorders>
              <w:top w:val="nil"/>
              <w:left w:val="nil"/>
              <w:bottom w:val="single" w:sz="8" w:space="0" w:color="C0C0C0"/>
              <w:right w:val="single" w:sz="8" w:space="0" w:color="auto"/>
            </w:tcBorders>
            <w:shd w:val="clear" w:color="auto" w:fill="auto"/>
            <w:vAlign w:val="center"/>
            <w:hideMark/>
          </w:tcPr>
          <w:p w:rsidR="005E2227" w:rsidRPr="005E2227" w:rsidRDefault="005E2227" w:rsidP="005E2227">
            <w:pPr>
              <w:jc w:val="right"/>
              <w:rPr>
                <w:rFonts w:eastAsia="Times New Roman" w:cs="Arial"/>
                <w:color w:val="000000"/>
                <w:szCs w:val="24"/>
                <w:lang w:eastAsia="en-GB"/>
              </w:rPr>
            </w:pPr>
            <w:r w:rsidRPr="005E2227">
              <w:rPr>
                <w:rFonts w:eastAsia="Times New Roman" w:cs="Arial"/>
                <w:color w:val="000000"/>
                <w:szCs w:val="24"/>
                <w:lang w:eastAsia="en-GB"/>
              </w:rPr>
              <w:t>3,653</w:t>
            </w:r>
          </w:p>
        </w:tc>
        <w:tc>
          <w:tcPr>
            <w:tcW w:w="2977" w:type="dxa"/>
            <w:tcBorders>
              <w:top w:val="nil"/>
              <w:left w:val="nil"/>
              <w:bottom w:val="single" w:sz="8" w:space="0" w:color="C0C0C0"/>
              <w:right w:val="single" w:sz="8" w:space="0" w:color="auto"/>
            </w:tcBorders>
            <w:shd w:val="clear" w:color="auto" w:fill="auto"/>
            <w:vAlign w:val="center"/>
            <w:hideMark/>
          </w:tcPr>
          <w:p w:rsidR="005E2227" w:rsidRPr="005E2227" w:rsidRDefault="005E2227" w:rsidP="005E2227">
            <w:pPr>
              <w:jc w:val="right"/>
              <w:rPr>
                <w:rFonts w:eastAsia="Times New Roman" w:cs="Arial"/>
                <w:color w:val="000000"/>
                <w:szCs w:val="24"/>
                <w:lang w:eastAsia="en-GB"/>
              </w:rPr>
            </w:pPr>
            <w:r w:rsidRPr="005E2227">
              <w:rPr>
                <w:rFonts w:eastAsia="Times New Roman" w:cs="Arial"/>
                <w:color w:val="000000"/>
                <w:szCs w:val="24"/>
                <w:lang w:eastAsia="en-GB"/>
              </w:rPr>
              <w:t>3.22</w:t>
            </w:r>
          </w:p>
        </w:tc>
        <w:tc>
          <w:tcPr>
            <w:tcW w:w="2268" w:type="dxa"/>
            <w:tcBorders>
              <w:top w:val="nil"/>
              <w:left w:val="nil"/>
              <w:bottom w:val="single" w:sz="8" w:space="0" w:color="C0C0C0"/>
              <w:right w:val="single" w:sz="8" w:space="0" w:color="auto"/>
            </w:tcBorders>
            <w:shd w:val="clear" w:color="auto" w:fill="auto"/>
            <w:vAlign w:val="center"/>
            <w:hideMark/>
          </w:tcPr>
          <w:p w:rsidR="005E2227" w:rsidRPr="005E2227" w:rsidRDefault="005E2227" w:rsidP="005E2227">
            <w:pPr>
              <w:jc w:val="right"/>
              <w:rPr>
                <w:rFonts w:eastAsia="Times New Roman" w:cs="Arial"/>
                <w:color w:val="000000"/>
                <w:szCs w:val="24"/>
                <w:lang w:eastAsia="en-GB"/>
              </w:rPr>
            </w:pPr>
            <w:r w:rsidRPr="005E2227">
              <w:rPr>
                <w:rFonts w:eastAsia="Times New Roman" w:cs="Arial"/>
                <w:color w:val="000000"/>
                <w:szCs w:val="24"/>
                <w:lang w:eastAsia="en-GB"/>
              </w:rPr>
              <w:t>26.40%</w:t>
            </w:r>
          </w:p>
        </w:tc>
      </w:tr>
      <w:tr w:rsidR="005E2227" w:rsidRPr="005E2227" w:rsidTr="005E2227">
        <w:trPr>
          <w:trHeight w:val="315"/>
        </w:trPr>
        <w:tc>
          <w:tcPr>
            <w:tcW w:w="2142" w:type="dxa"/>
            <w:tcBorders>
              <w:top w:val="nil"/>
              <w:left w:val="single" w:sz="8" w:space="0" w:color="auto"/>
              <w:bottom w:val="single" w:sz="8" w:space="0" w:color="C0C0C0"/>
              <w:right w:val="single" w:sz="8" w:space="0" w:color="auto"/>
            </w:tcBorders>
            <w:shd w:val="clear" w:color="auto" w:fill="auto"/>
            <w:vAlign w:val="center"/>
            <w:hideMark/>
          </w:tcPr>
          <w:p w:rsidR="005E2227" w:rsidRPr="005E2227" w:rsidRDefault="005E2227" w:rsidP="005E2227">
            <w:pPr>
              <w:rPr>
                <w:rFonts w:eastAsia="Times New Roman" w:cs="Arial"/>
                <w:color w:val="000000"/>
                <w:szCs w:val="24"/>
                <w:lang w:eastAsia="en-GB"/>
              </w:rPr>
            </w:pPr>
            <w:r w:rsidRPr="005E2227">
              <w:rPr>
                <w:rFonts w:eastAsia="Times New Roman" w:cs="Arial"/>
                <w:color w:val="000000"/>
                <w:szCs w:val="24"/>
                <w:lang w:eastAsia="en-GB"/>
              </w:rPr>
              <w:t>Kirklees</w:t>
            </w:r>
          </w:p>
        </w:tc>
        <w:tc>
          <w:tcPr>
            <w:tcW w:w="2693" w:type="dxa"/>
            <w:tcBorders>
              <w:top w:val="nil"/>
              <w:left w:val="nil"/>
              <w:bottom w:val="single" w:sz="8" w:space="0" w:color="C0C0C0"/>
              <w:right w:val="single" w:sz="8" w:space="0" w:color="auto"/>
            </w:tcBorders>
            <w:shd w:val="clear" w:color="auto" w:fill="auto"/>
            <w:vAlign w:val="center"/>
            <w:hideMark/>
          </w:tcPr>
          <w:p w:rsidR="005E2227" w:rsidRPr="005E2227" w:rsidRDefault="005E2227" w:rsidP="005E2227">
            <w:pPr>
              <w:jc w:val="right"/>
              <w:rPr>
                <w:rFonts w:eastAsia="Times New Roman" w:cs="Arial"/>
                <w:color w:val="000000"/>
                <w:szCs w:val="24"/>
                <w:lang w:eastAsia="en-GB"/>
              </w:rPr>
            </w:pPr>
            <w:r w:rsidRPr="005E2227">
              <w:rPr>
                <w:rFonts w:eastAsia="Times New Roman" w:cs="Arial"/>
                <w:color w:val="000000"/>
                <w:szCs w:val="24"/>
                <w:lang w:eastAsia="en-GB"/>
              </w:rPr>
              <w:t>7,160</w:t>
            </w:r>
          </w:p>
        </w:tc>
        <w:tc>
          <w:tcPr>
            <w:tcW w:w="2977" w:type="dxa"/>
            <w:tcBorders>
              <w:top w:val="nil"/>
              <w:left w:val="nil"/>
              <w:bottom w:val="single" w:sz="8" w:space="0" w:color="C0C0C0"/>
              <w:right w:val="single" w:sz="8" w:space="0" w:color="auto"/>
            </w:tcBorders>
            <w:shd w:val="clear" w:color="auto" w:fill="auto"/>
            <w:vAlign w:val="center"/>
            <w:hideMark/>
          </w:tcPr>
          <w:p w:rsidR="005E2227" w:rsidRPr="005E2227" w:rsidRDefault="005E2227" w:rsidP="005E2227">
            <w:pPr>
              <w:jc w:val="right"/>
              <w:rPr>
                <w:rFonts w:eastAsia="Times New Roman" w:cs="Arial"/>
                <w:color w:val="000000"/>
                <w:szCs w:val="24"/>
                <w:lang w:eastAsia="en-GB"/>
              </w:rPr>
            </w:pPr>
            <w:r w:rsidRPr="005E2227">
              <w:rPr>
                <w:rFonts w:eastAsia="Times New Roman" w:cs="Arial"/>
                <w:color w:val="000000"/>
                <w:szCs w:val="24"/>
                <w:lang w:eastAsia="en-GB"/>
              </w:rPr>
              <w:t>2.90</w:t>
            </w:r>
          </w:p>
        </w:tc>
        <w:tc>
          <w:tcPr>
            <w:tcW w:w="2268" w:type="dxa"/>
            <w:tcBorders>
              <w:top w:val="nil"/>
              <w:left w:val="nil"/>
              <w:bottom w:val="single" w:sz="8" w:space="0" w:color="C0C0C0"/>
              <w:right w:val="single" w:sz="8" w:space="0" w:color="auto"/>
            </w:tcBorders>
            <w:shd w:val="clear" w:color="auto" w:fill="auto"/>
            <w:vAlign w:val="center"/>
            <w:hideMark/>
          </w:tcPr>
          <w:p w:rsidR="005E2227" w:rsidRPr="005E2227" w:rsidRDefault="005E2227" w:rsidP="005E2227">
            <w:pPr>
              <w:jc w:val="right"/>
              <w:rPr>
                <w:rFonts w:eastAsia="Times New Roman" w:cs="Arial"/>
                <w:color w:val="000000"/>
                <w:szCs w:val="24"/>
                <w:lang w:eastAsia="en-GB"/>
              </w:rPr>
            </w:pPr>
            <w:r w:rsidRPr="005E2227">
              <w:rPr>
                <w:rFonts w:eastAsia="Times New Roman" w:cs="Arial"/>
                <w:color w:val="000000"/>
                <w:szCs w:val="24"/>
                <w:lang w:eastAsia="en-GB"/>
              </w:rPr>
              <w:t>24.70%</w:t>
            </w:r>
          </w:p>
        </w:tc>
      </w:tr>
      <w:tr w:rsidR="005E2227" w:rsidRPr="005E2227" w:rsidTr="005E2227">
        <w:trPr>
          <w:trHeight w:val="315"/>
        </w:trPr>
        <w:tc>
          <w:tcPr>
            <w:tcW w:w="10080" w:type="dxa"/>
            <w:gridSpan w:val="4"/>
            <w:tcBorders>
              <w:top w:val="single" w:sz="8" w:space="0" w:color="C0C0C0"/>
              <w:left w:val="single" w:sz="8" w:space="0" w:color="auto"/>
              <w:bottom w:val="single" w:sz="8" w:space="0" w:color="auto"/>
              <w:right w:val="single" w:sz="8" w:space="0" w:color="000000"/>
            </w:tcBorders>
            <w:shd w:val="clear" w:color="auto" w:fill="auto"/>
            <w:vAlign w:val="center"/>
            <w:hideMark/>
          </w:tcPr>
          <w:p w:rsidR="005E2227" w:rsidRPr="005E2227" w:rsidRDefault="005E2227" w:rsidP="005E2227">
            <w:pPr>
              <w:jc w:val="center"/>
              <w:rPr>
                <w:rFonts w:eastAsia="Times New Roman" w:cs="Arial"/>
                <w:i/>
                <w:iCs/>
                <w:color w:val="000000"/>
                <w:sz w:val="18"/>
                <w:szCs w:val="18"/>
                <w:lang w:eastAsia="en-GB"/>
              </w:rPr>
            </w:pPr>
            <w:r w:rsidRPr="005E2227">
              <w:rPr>
                <w:rFonts w:eastAsia="Times New Roman" w:cs="Arial"/>
                <w:i/>
                <w:iCs/>
                <w:color w:val="000000"/>
                <w:sz w:val="18"/>
                <w:szCs w:val="18"/>
                <w:lang w:eastAsia="en-GB"/>
              </w:rPr>
              <w:t>Source: Ministry of Justice, proven reoffending statistics</w:t>
            </w:r>
          </w:p>
        </w:tc>
      </w:tr>
    </w:tbl>
    <w:p w:rsidR="005E2227" w:rsidRDefault="005E2227" w:rsidP="00264E75">
      <w:pPr>
        <w:autoSpaceDE w:val="0"/>
        <w:autoSpaceDN w:val="0"/>
        <w:adjustRightInd w:val="0"/>
        <w:rPr>
          <w:rFonts w:cs="Arial"/>
          <w:color w:val="000000"/>
        </w:rPr>
      </w:pPr>
    </w:p>
    <w:p w:rsidR="00CB1DC1" w:rsidRDefault="00CB1DC1" w:rsidP="00264E75">
      <w:pPr>
        <w:autoSpaceDE w:val="0"/>
        <w:autoSpaceDN w:val="0"/>
        <w:adjustRightInd w:val="0"/>
        <w:rPr>
          <w:rFonts w:cs="Arial"/>
          <w:color w:val="000000"/>
        </w:rPr>
      </w:pPr>
    </w:p>
    <w:p w:rsidR="00264E75" w:rsidRPr="00F6491F" w:rsidRDefault="00264E75" w:rsidP="00F6491F">
      <w:pPr>
        <w:pStyle w:val="Heading1"/>
        <w:rPr>
          <w:rFonts w:cs="Arial"/>
        </w:rPr>
      </w:pPr>
      <w:r w:rsidRPr="00F6491F">
        <w:rPr>
          <w:rFonts w:cs="Arial"/>
        </w:rPr>
        <w:t>Antisocial Behaviour</w:t>
      </w:r>
    </w:p>
    <w:p w:rsidR="006F2873" w:rsidRDefault="00264E75" w:rsidP="00264E75">
      <w:r>
        <w:rPr>
          <w:rFonts w:cs="Arial"/>
        </w:rPr>
        <w:t>In 201</w:t>
      </w:r>
      <w:r w:rsidR="00056EE9">
        <w:rPr>
          <w:rFonts w:cs="Arial"/>
        </w:rPr>
        <w:t>5</w:t>
      </w:r>
      <w:r>
        <w:rPr>
          <w:rFonts w:cs="Arial"/>
        </w:rPr>
        <w:t>/1</w:t>
      </w:r>
      <w:r w:rsidR="00056EE9">
        <w:rPr>
          <w:rFonts w:cs="Arial"/>
        </w:rPr>
        <w:t>6</w:t>
      </w:r>
      <w:r>
        <w:rPr>
          <w:rFonts w:cs="Arial"/>
        </w:rPr>
        <w:t>, there were 1</w:t>
      </w:r>
      <w:r w:rsidR="00056EE9">
        <w:rPr>
          <w:rFonts w:cs="Arial"/>
        </w:rPr>
        <w:t xml:space="preserve">6,355 </w:t>
      </w:r>
      <w:r>
        <w:rPr>
          <w:rFonts w:cs="Arial"/>
        </w:rPr>
        <w:t>incidents of antisocial behaviour (ASB) recorded by the Police, a</w:t>
      </w:r>
      <w:r w:rsidR="00056EE9">
        <w:rPr>
          <w:rFonts w:cs="Arial"/>
        </w:rPr>
        <w:t xml:space="preserve"> decrease of 5.4</w:t>
      </w:r>
      <w:r>
        <w:rPr>
          <w:rFonts w:cs="Arial"/>
        </w:rPr>
        <w:t xml:space="preserve">% on the previous year. Since </w:t>
      </w:r>
      <w:r w:rsidR="00056EE9">
        <w:rPr>
          <w:rFonts w:cs="Arial"/>
        </w:rPr>
        <w:t>April</w:t>
      </w:r>
      <w:r>
        <w:rPr>
          <w:rFonts w:cs="Arial"/>
        </w:rPr>
        <w:t xml:space="preserve"> 201</w:t>
      </w:r>
      <w:r w:rsidR="00056EE9">
        <w:rPr>
          <w:rFonts w:cs="Arial"/>
        </w:rPr>
        <w:t>6</w:t>
      </w:r>
      <w:r>
        <w:rPr>
          <w:rFonts w:cs="Arial"/>
        </w:rPr>
        <w:t xml:space="preserve"> there has been a </w:t>
      </w:r>
      <w:r w:rsidR="00056EE9">
        <w:rPr>
          <w:rFonts w:cs="Arial"/>
        </w:rPr>
        <w:t xml:space="preserve">further </w:t>
      </w:r>
      <w:r>
        <w:rPr>
          <w:rFonts w:cs="Arial"/>
        </w:rPr>
        <w:t>reduction in the number of ASB incidents recorded by the Police. Between 1 April 1</w:t>
      </w:r>
      <w:r w:rsidR="00056EE9">
        <w:rPr>
          <w:rFonts w:cs="Arial"/>
        </w:rPr>
        <w:t>6</w:t>
      </w:r>
      <w:r>
        <w:rPr>
          <w:rFonts w:cs="Arial"/>
        </w:rPr>
        <w:t xml:space="preserve"> and 30 September 1</w:t>
      </w:r>
      <w:r w:rsidR="00056EE9">
        <w:rPr>
          <w:rFonts w:cs="Arial"/>
        </w:rPr>
        <w:t>6</w:t>
      </w:r>
      <w:r>
        <w:rPr>
          <w:rFonts w:cs="Arial"/>
        </w:rPr>
        <w:t xml:space="preserve"> there were </w:t>
      </w:r>
      <w:r w:rsidR="00056EE9">
        <w:rPr>
          <w:rFonts w:cs="Arial"/>
        </w:rPr>
        <w:t>8,727 incidents recorded, a 6.7</w:t>
      </w:r>
      <w:r>
        <w:rPr>
          <w:rFonts w:cs="Arial"/>
        </w:rPr>
        <w:t xml:space="preserve">% reduction on the same period the previous year. </w:t>
      </w:r>
      <w:r w:rsidR="00021E63">
        <w:rPr>
          <w:rFonts w:cs="Arial"/>
        </w:rPr>
        <w:t>35% of the total incidents during the year to 30 September 2016 were</w:t>
      </w:r>
      <w:r>
        <w:rPr>
          <w:rFonts w:cs="Arial"/>
        </w:rPr>
        <w:t xml:space="preserve"> youth related</w:t>
      </w:r>
      <w:r w:rsidR="00021E63">
        <w:rPr>
          <w:rFonts w:cs="Arial"/>
        </w:rPr>
        <w:t xml:space="preserve">. Alcohol related incidents had the largest reduction during the year to 30 September 2016 (a 21% reduction compared to the previous year – approx. 260 fewer incidents). </w:t>
      </w:r>
      <w:r w:rsidR="00771634" w:rsidRPr="00771634">
        <w:rPr>
          <w:rFonts w:cs="Arial"/>
        </w:rPr>
        <w:t xml:space="preserve">Reported nuisance car and van incidents increased by 40% during the year to 30 September 2016 (an increase of approx. 260 incidents).  This increase partially reflects the work being done to encourage people to report this type of anti-social behaviour.  Since the start of February 2016 Police have been running Operation </w:t>
      </w:r>
      <w:proofErr w:type="spellStart"/>
      <w:r w:rsidR="00771634" w:rsidRPr="00771634">
        <w:rPr>
          <w:rFonts w:cs="Arial"/>
        </w:rPr>
        <w:t>Steerside</w:t>
      </w:r>
      <w:proofErr w:type="spellEnd"/>
      <w:r w:rsidR="00771634" w:rsidRPr="00771634">
        <w:rPr>
          <w:rFonts w:cs="Arial"/>
        </w:rPr>
        <w:t xml:space="preserve"> to tackle Bradford’s dangerous drivers. Just under 3,500 vehicles were stopped as part of the operation between 1 April and 30th September, a high proportion which were within the city centre.</w:t>
      </w:r>
    </w:p>
    <w:p w:rsidR="006F2873" w:rsidRDefault="006F2873" w:rsidP="00264E75">
      <w:pPr>
        <w:rPr>
          <w:rFonts w:cs="Arial"/>
        </w:rPr>
      </w:pPr>
    </w:p>
    <w:p w:rsidR="00264E75" w:rsidRDefault="00264E75" w:rsidP="00264E75">
      <w:pPr>
        <w:rPr>
          <w:rFonts w:cs="Arial"/>
        </w:rPr>
      </w:pPr>
      <w:r>
        <w:rPr>
          <w:rFonts w:cs="Arial"/>
        </w:rPr>
        <w:t>Results from the Office of the Police and Crime Commissioner Survey show t</w:t>
      </w:r>
      <w:r w:rsidRPr="00CE2BF3">
        <w:rPr>
          <w:rFonts w:cs="Arial"/>
        </w:rPr>
        <w:t xml:space="preserve">raffic and </w:t>
      </w:r>
      <w:r>
        <w:rPr>
          <w:rFonts w:cs="Arial"/>
        </w:rPr>
        <w:t>r</w:t>
      </w:r>
      <w:r w:rsidRPr="00CE2BF3">
        <w:rPr>
          <w:rFonts w:cs="Arial"/>
        </w:rPr>
        <w:t xml:space="preserve">ubbish and litter lying around </w:t>
      </w:r>
      <w:r>
        <w:rPr>
          <w:rFonts w:cs="Arial"/>
        </w:rPr>
        <w:t>as</w:t>
      </w:r>
      <w:r w:rsidRPr="00CE2BF3">
        <w:rPr>
          <w:rFonts w:cs="Arial"/>
        </w:rPr>
        <w:t xml:space="preserve"> the top issues for District residents</w:t>
      </w:r>
      <w:r>
        <w:rPr>
          <w:rFonts w:cs="Arial"/>
        </w:rPr>
        <w:t>.</w:t>
      </w:r>
      <w:r w:rsidRPr="00CE2BF3">
        <w:rPr>
          <w:rFonts w:cs="Arial"/>
        </w:rPr>
        <w:t xml:space="preserve"> </w:t>
      </w:r>
      <w:r>
        <w:rPr>
          <w:rFonts w:cs="Arial"/>
        </w:rPr>
        <w:t xml:space="preserve">Traffic is more of an issue for residents in Bradford West NPT where during </w:t>
      </w:r>
      <w:r w:rsidR="0091766E">
        <w:rPr>
          <w:rFonts w:cs="Arial"/>
        </w:rPr>
        <w:t>the year to 31</w:t>
      </w:r>
      <w:r w:rsidR="0091766E" w:rsidRPr="0091766E">
        <w:rPr>
          <w:rFonts w:cs="Arial"/>
          <w:vertAlign w:val="superscript"/>
        </w:rPr>
        <w:t>st</w:t>
      </w:r>
      <w:r w:rsidR="0091766E">
        <w:rPr>
          <w:rFonts w:cs="Arial"/>
        </w:rPr>
        <w:t xml:space="preserve"> March </w:t>
      </w:r>
      <w:r w:rsidR="00566F9C">
        <w:rPr>
          <w:rFonts w:cs="Arial"/>
        </w:rPr>
        <w:t>201</w:t>
      </w:r>
      <w:r w:rsidR="0091766E">
        <w:rPr>
          <w:rFonts w:cs="Arial"/>
        </w:rPr>
        <w:t>6</w:t>
      </w:r>
      <w:r w:rsidR="00566F9C">
        <w:rPr>
          <w:rFonts w:cs="Arial"/>
        </w:rPr>
        <w:t xml:space="preserve"> 74.9</w:t>
      </w:r>
      <w:r>
        <w:rPr>
          <w:rFonts w:cs="Arial"/>
        </w:rPr>
        <w:t>% of survey respondents reported a problem. Residents in the City Centre had the highest negative perceptions about rubbish a</w:t>
      </w:r>
      <w:r w:rsidR="00566F9C">
        <w:rPr>
          <w:rFonts w:cs="Arial"/>
        </w:rPr>
        <w:t>nd litter lying around with 73.3</w:t>
      </w:r>
      <w:r>
        <w:rPr>
          <w:rFonts w:cs="Arial"/>
        </w:rPr>
        <w:t xml:space="preserve">% of survey respondents reporting it as a problem. </w:t>
      </w:r>
    </w:p>
    <w:p w:rsidR="00264E75" w:rsidRPr="00CE2BF3" w:rsidRDefault="00264E75" w:rsidP="00264E75">
      <w:pPr>
        <w:jc w:val="both"/>
        <w:rPr>
          <w:rFonts w:cs="Arial"/>
        </w:rPr>
      </w:pPr>
    </w:p>
    <w:p w:rsidR="00264E75" w:rsidRDefault="00264E75" w:rsidP="00264E75">
      <w:pPr>
        <w:rPr>
          <w:rFonts w:cs="Arial"/>
        </w:rPr>
      </w:pPr>
      <w:r w:rsidRPr="00934612">
        <w:rPr>
          <w:rFonts w:cs="Arial"/>
        </w:rPr>
        <w:t xml:space="preserve">Bradford has the highest percentage of residents who believe </w:t>
      </w:r>
      <w:r>
        <w:rPr>
          <w:rFonts w:cs="Arial"/>
        </w:rPr>
        <w:t xml:space="preserve">antisocial behaviour </w:t>
      </w:r>
      <w:r w:rsidRPr="00934612">
        <w:rPr>
          <w:rFonts w:cs="Arial"/>
        </w:rPr>
        <w:t xml:space="preserve">has increased in West Yorkshire at </w:t>
      </w:r>
      <w:r w:rsidR="00566F9C">
        <w:rPr>
          <w:rFonts w:cs="Arial"/>
        </w:rPr>
        <w:t>18</w:t>
      </w:r>
      <w:r w:rsidRPr="00934612">
        <w:rPr>
          <w:rFonts w:cs="Arial"/>
        </w:rPr>
        <w:t>%</w:t>
      </w:r>
      <w:r>
        <w:rPr>
          <w:rFonts w:cs="Arial"/>
        </w:rPr>
        <w:t xml:space="preserve"> for the 12 months to </w:t>
      </w:r>
      <w:r w:rsidR="00566F9C">
        <w:rPr>
          <w:rFonts w:cs="Arial"/>
        </w:rPr>
        <w:t>31 March</w:t>
      </w:r>
      <w:r>
        <w:rPr>
          <w:rFonts w:cs="Arial"/>
        </w:rPr>
        <w:t xml:space="preserve"> 201</w:t>
      </w:r>
      <w:r w:rsidR="00566F9C">
        <w:rPr>
          <w:rFonts w:cs="Arial"/>
        </w:rPr>
        <w:t>6</w:t>
      </w:r>
      <w:r w:rsidRPr="00934612">
        <w:rPr>
          <w:rFonts w:cs="Arial"/>
        </w:rPr>
        <w:t xml:space="preserve">, compared to the West Yorkshire average of </w:t>
      </w:r>
      <w:r w:rsidR="00566F9C">
        <w:rPr>
          <w:rFonts w:cs="Arial"/>
        </w:rPr>
        <w:t>13.2</w:t>
      </w:r>
      <w:r w:rsidRPr="00934612">
        <w:rPr>
          <w:rFonts w:cs="Arial"/>
        </w:rPr>
        <w:t>%</w:t>
      </w:r>
      <w:r w:rsidRPr="00853A0A">
        <w:rPr>
          <w:rFonts w:cs="Arial"/>
          <w:sz w:val="16"/>
          <w:szCs w:val="16"/>
        </w:rPr>
        <w:t>.</w:t>
      </w:r>
    </w:p>
    <w:p w:rsidR="00450907" w:rsidRDefault="00450907" w:rsidP="00F6491F">
      <w:pPr>
        <w:pStyle w:val="Heading1"/>
        <w:rPr>
          <w:rFonts w:cs="Arial"/>
        </w:rPr>
      </w:pPr>
    </w:p>
    <w:p w:rsidR="00264E75" w:rsidRPr="00F6491F" w:rsidRDefault="00264E75" w:rsidP="00F6491F">
      <w:pPr>
        <w:pStyle w:val="Heading1"/>
        <w:rPr>
          <w:rFonts w:cs="Arial"/>
        </w:rPr>
      </w:pPr>
      <w:r w:rsidRPr="00F6491F">
        <w:rPr>
          <w:rFonts w:cs="Arial"/>
        </w:rPr>
        <w:t xml:space="preserve">Drugs &amp; Alcohol </w:t>
      </w:r>
    </w:p>
    <w:p w:rsidR="00264E75" w:rsidRDefault="00264E75" w:rsidP="00264E75">
      <w:pPr>
        <w:rPr>
          <w:rFonts w:cs="Arial"/>
        </w:rPr>
      </w:pPr>
      <w:r w:rsidRPr="00853A0A">
        <w:rPr>
          <w:rFonts w:cs="Arial"/>
        </w:rPr>
        <w:t>3</w:t>
      </w:r>
      <w:r w:rsidR="00496852">
        <w:rPr>
          <w:rFonts w:cs="Arial"/>
        </w:rPr>
        <w:t>9.2</w:t>
      </w:r>
      <w:r w:rsidRPr="00853A0A">
        <w:rPr>
          <w:rFonts w:cs="Arial"/>
        </w:rPr>
        <w:t>% of residents believe that there is a problem with drug use and drug dealing in their local area</w:t>
      </w:r>
      <w:r>
        <w:rPr>
          <w:rFonts w:cs="Arial"/>
        </w:rPr>
        <w:t xml:space="preserve"> for the year to 3</w:t>
      </w:r>
      <w:r w:rsidR="00496852">
        <w:rPr>
          <w:rFonts w:cs="Arial"/>
        </w:rPr>
        <w:t>1 March 2016</w:t>
      </w:r>
      <w:r w:rsidRPr="00853A0A">
        <w:rPr>
          <w:rFonts w:cs="Arial"/>
        </w:rPr>
        <w:t xml:space="preserve">. This is a </w:t>
      </w:r>
      <w:r w:rsidR="00496852">
        <w:rPr>
          <w:rFonts w:cs="Arial"/>
        </w:rPr>
        <w:t xml:space="preserve">1.3 </w:t>
      </w:r>
      <w:r>
        <w:rPr>
          <w:rFonts w:cs="Arial"/>
        </w:rPr>
        <w:t>percentage point</w:t>
      </w:r>
      <w:r w:rsidRPr="00853A0A">
        <w:rPr>
          <w:rFonts w:cs="Arial"/>
        </w:rPr>
        <w:t xml:space="preserve"> </w:t>
      </w:r>
      <w:r>
        <w:rPr>
          <w:rFonts w:cs="Arial"/>
        </w:rPr>
        <w:t>decrease</w:t>
      </w:r>
      <w:r w:rsidRPr="00853A0A">
        <w:rPr>
          <w:rFonts w:cs="Arial"/>
        </w:rPr>
        <w:t xml:space="preserve"> from</w:t>
      </w:r>
      <w:r>
        <w:rPr>
          <w:rFonts w:cs="Arial"/>
        </w:rPr>
        <w:t xml:space="preserve"> the same period the previous year</w:t>
      </w:r>
      <w:r w:rsidRPr="00853A0A">
        <w:rPr>
          <w:rFonts w:cs="Arial"/>
          <w:sz w:val="16"/>
          <w:szCs w:val="16"/>
        </w:rPr>
        <w:t>.</w:t>
      </w:r>
    </w:p>
    <w:p w:rsidR="00264E75" w:rsidRDefault="00264E75" w:rsidP="00264E75">
      <w:pPr>
        <w:rPr>
          <w:rFonts w:cs="Arial"/>
          <w:iCs/>
        </w:rPr>
      </w:pPr>
    </w:p>
    <w:p w:rsidR="00264E75" w:rsidRDefault="00450907" w:rsidP="00264E75">
      <w:pPr>
        <w:rPr>
          <w:iCs/>
        </w:rPr>
      </w:pPr>
      <w:r>
        <w:rPr>
          <w:rFonts w:cs="Arial"/>
          <w:iCs/>
        </w:rPr>
        <w:t>4.7% of opiate users and 36</w:t>
      </w:r>
      <w:r w:rsidR="00264E75" w:rsidRPr="00881475">
        <w:rPr>
          <w:rFonts w:cs="Arial"/>
          <w:iCs/>
        </w:rPr>
        <w:t>% of non-opiate users successfully completed treatment and did not represent within 6 months</w:t>
      </w:r>
      <w:r>
        <w:rPr>
          <w:rFonts w:cs="Arial"/>
          <w:iCs/>
        </w:rPr>
        <w:t xml:space="preserve"> for Quarter 2 16-17</w:t>
      </w:r>
      <w:r w:rsidR="00264E75" w:rsidRPr="00881475">
        <w:rPr>
          <w:rFonts w:cs="Arial"/>
          <w:iCs/>
        </w:rPr>
        <w:t>.</w:t>
      </w:r>
      <w:r w:rsidR="00264E75">
        <w:rPr>
          <w:rFonts w:cs="Arial"/>
          <w:i/>
          <w:iCs/>
        </w:rPr>
        <w:t> </w:t>
      </w:r>
      <w:r>
        <w:rPr>
          <w:rFonts w:cs="Arial"/>
          <w:iCs/>
        </w:rPr>
        <w:t>36.3</w:t>
      </w:r>
      <w:r w:rsidR="00264E75" w:rsidRPr="00881475">
        <w:rPr>
          <w:rFonts w:cs="Arial"/>
          <w:iCs/>
        </w:rPr>
        <w:t>% of individuals reporting alcohol misuse le</w:t>
      </w:r>
      <w:r w:rsidR="00264E75">
        <w:rPr>
          <w:rFonts w:cs="Arial"/>
          <w:iCs/>
        </w:rPr>
        <w:t xml:space="preserve">ft </w:t>
      </w:r>
      <w:r w:rsidR="00264E75" w:rsidRPr="00881475">
        <w:rPr>
          <w:rFonts w:cs="Arial"/>
          <w:iCs/>
        </w:rPr>
        <w:t>treatment successfully.</w:t>
      </w:r>
      <w:r w:rsidR="00264E75" w:rsidRPr="004B7E16">
        <w:rPr>
          <w:rStyle w:val="FootnoteReference"/>
          <w:iCs/>
        </w:rPr>
        <w:t xml:space="preserve"> </w:t>
      </w:r>
      <w:r w:rsidR="0091766E">
        <w:rPr>
          <w:rStyle w:val="FootnoteReference"/>
          <w:iCs/>
        </w:rPr>
        <w:footnoteReference w:id="1"/>
      </w:r>
    </w:p>
    <w:p w:rsidR="00264E75" w:rsidRDefault="00264E75" w:rsidP="00264E75">
      <w:pPr>
        <w:jc w:val="both"/>
        <w:rPr>
          <w:rFonts w:cs="Arial"/>
        </w:rPr>
      </w:pPr>
    </w:p>
    <w:p w:rsidR="00450907" w:rsidRDefault="00450907" w:rsidP="00264E75">
      <w:pPr>
        <w:jc w:val="both"/>
        <w:rPr>
          <w:rFonts w:cs="Arial"/>
        </w:rPr>
      </w:pPr>
    </w:p>
    <w:p w:rsidR="00264E75" w:rsidRPr="00F6491F" w:rsidRDefault="00264E75" w:rsidP="00F6491F">
      <w:pPr>
        <w:pStyle w:val="Heading1"/>
        <w:rPr>
          <w:rFonts w:cs="Arial"/>
        </w:rPr>
      </w:pPr>
      <w:r w:rsidRPr="00F6491F">
        <w:rPr>
          <w:rFonts w:cs="Arial"/>
        </w:rPr>
        <w:lastRenderedPageBreak/>
        <w:t xml:space="preserve">Domestic abuse </w:t>
      </w:r>
    </w:p>
    <w:p w:rsidR="00264E75" w:rsidRDefault="00264E75" w:rsidP="00264E75">
      <w:pPr>
        <w:pStyle w:val="NormalWeb"/>
        <w:spacing w:before="0" w:beforeAutospacing="0" w:after="0" w:afterAutospacing="0"/>
        <w:rPr>
          <w:rFonts w:ascii="Arial" w:hAnsi="Arial" w:cs="Arial"/>
        </w:rPr>
      </w:pPr>
      <w:r w:rsidRPr="00DC4F42">
        <w:rPr>
          <w:rFonts w:ascii="Arial" w:hAnsi="Arial" w:cs="Arial"/>
        </w:rPr>
        <w:t>Domestic abuse is any violent or abusive behaviour used by one person to control and dominate another with whom they have or have had a personal or family relationship. This includes physical, sexual, psychological, emotional, verbal or financial abuse.</w:t>
      </w:r>
    </w:p>
    <w:p w:rsidR="00264E75" w:rsidRPr="00DC4F42" w:rsidRDefault="00264E75" w:rsidP="00264E75">
      <w:pPr>
        <w:pStyle w:val="NormalWeb"/>
        <w:spacing w:before="0" w:beforeAutospacing="0" w:after="0" w:afterAutospacing="0"/>
        <w:rPr>
          <w:rFonts w:ascii="Arial" w:hAnsi="Arial" w:cs="Arial"/>
        </w:rPr>
      </w:pPr>
    </w:p>
    <w:p w:rsidR="00264E75" w:rsidRDefault="00264E75" w:rsidP="00264E75">
      <w:pPr>
        <w:autoSpaceDE w:val="0"/>
        <w:autoSpaceDN w:val="0"/>
        <w:adjustRightInd w:val="0"/>
        <w:rPr>
          <w:rFonts w:cs="Arial"/>
          <w:color w:val="000000"/>
        </w:rPr>
      </w:pPr>
      <w:r w:rsidRPr="00DC4F42">
        <w:rPr>
          <w:rFonts w:cs="Arial"/>
          <w:color w:val="000000"/>
        </w:rPr>
        <w:t xml:space="preserve">There were </w:t>
      </w:r>
      <w:r w:rsidR="00450907">
        <w:rPr>
          <w:rFonts w:cs="Arial"/>
          <w:color w:val="000000"/>
        </w:rPr>
        <w:t>12</w:t>
      </w:r>
      <w:r>
        <w:rPr>
          <w:rFonts w:cs="Arial"/>
          <w:color w:val="000000"/>
        </w:rPr>
        <w:t>,</w:t>
      </w:r>
      <w:r w:rsidR="00450907">
        <w:rPr>
          <w:rFonts w:cs="Arial"/>
          <w:color w:val="000000"/>
        </w:rPr>
        <w:t>319</w:t>
      </w:r>
      <w:r w:rsidRPr="00DC4F42">
        <w:rPr>
          <w:rFonts w:cs="Arial"/>
          <w:color w:val="000000"/>
        </w:rPr>
        <w:t xml:space="preserve"> incidents of domestic abuse in </w:t>
      </w:r>
      <w:r w:rsidR="00450907">
        <w:rPr>
          <w:rFonts w:cs="Arial"/>
          <w:color w:val="000000"/>
        </w:rPr>
        <w:t>2015</w:t>
      </w:r>
      <w:r>
        <w:rPr>
          <w:rFonts w:cs="Arial"/>
          <w:color w:val="000000"/>
        </w:rPr>
        <w:t>/1</w:t>
      </w:r>
      <w:r w:rsidR="00450907">
        <w:rPr>
          <w:rFonts w:cs="Arial"/>
          <w:color w:val="000000"/>
        </w:rPr>
        <w:t>6</w:t>
      </w:r>
      <w:r w:rsidRPr="00DC4F42">
        <w:rPr>
          <w:rFonts w:cs="Arial"/>
          <w:color w:val="000000"/>
        </w:rPr>
        <w:t xml:space="preserve">, a </w:t>
      </w:r>
      <w:r w:rsidR="00450907">
        <w:rPr>
          <w:rFonts w:cs="Arial"/>
          <w:color w:val="000000"/>
        </w:rPr>
        <w:t>13.1</w:t>
      </w:r>
      <w:r w:rsidRPr="00DC4F42">
        <w:rPr>
          <w:rFonts w:cs="Arial"/>
          <w:color w:val="000000"/>
        </w:rPr>
        <w:t xml:space="preserve">% increase compared to </w:t>
      </w:r>
      <w:r>
        <w:rPr>
          <w:rFonts w:cs="Arial"/>
          <w:color w:val="000000"/>
        </w:rPr>
        <w:t>201</w:t>
      </w:r>
      <w:r w:rsidR="00450907">
        <w:rPr>
          <w:rFonts w:cs="Arial"/>
          <w:color w:val="000000"/>
        </w:rPr>
        <w:t>4</w:t>
      </w:r>
      <w:r>
        <w:rPr>
          <w:rFonts w:cs="Arial"/>
          <w:color w:val="000000"/>
        </w:rPr>
        <w:t>/1</w:t>
      </w:r>
      <w:r w:rsidR="00450907">
        <w:rPr>
          <w:rFonts w:cs="Arial"/>
          <w:color w:val="000000"/>
        </w:rPr>
        <w:t>5</w:t>
      </w:r>
      <w:r w:rsidRPr="00DC4F42">
        <w:rPr>
          <w:rFonts w:cs="Arial"/>
          <w:color w:val="000000"/>
        </w:rPr>
        <w:t xml:space="preserve">, following a trend of increases over recent years. </w:t>
      </w:r>
      <w:r>
        <w:rPr>
          <w:rFonts w:cs="Arial"/>
          <w:color w:val="000000"/>
        </w:rPr>
        <w:t xml:space="preserve"> </w:t>
      </w:r>
      <w:r w:rsidRPr="00DC4F42">
        <w:rPr>
          <w:rFonts w:cs="Arial"/>
        </w:rPr>
        <w:t>The increase in reported incidents is positive</w:t>
      </w:r>
      <w:r>
        <w:rPr>
          <w:rFonts w:cs="Arial"/>
        </w:rPr>
        <w:t xml:space="preserve">, </w:t>
      </w:r>
      <w:r w:rsidRPr="00DC4F42">
        <w:rPr>
          <w:rFonts w:cs="Arial"/>
        </w:rPr>
        <w:t xml:space="preserve">suggesting more victims of domestic abuse are now seeking </w:t>
      </w:r>
      <w:r>
        <w:rPr>
          <w:rFonts w:cs="Arial"/>
        </w:rPr>
        <w:t xml:space="preserve">support.  </w:t>
      </w:r>
      <w:r w:rsidRPr="00DC4F42">
        <w:rPr>
          <w:rFonts w:cs="Arial"/>
          <w:color w:val="000000"/>
        </w:rPr>
        <w:t xml:space="preserve">The repeat victimisation rate for </w:t>
      </w:r>
      <w:r>
        <w:rPr>
          <w:rFonts w:cs="Arial"/>
          <w:color w:val="000000"/>
        </w:rPr>
        <w:t>d</w:t>
      </w:r>
      <w:r w:rsidRPr="00DC4F42">
        <w:rPr>
          <w:rFonts w:cs="Arial"/>
          <w:color w:val="000000"/>
        </w:rPr>
        <w:t xml:space="preserve">omestic </w:t>
      </w:r>
      <w:r>
        <w:rPr>
          <w:rFonts w:cs="Arial"/>
          <w:color w:val="000000"/>
        </w:rPr>
        <w:t>a</w:t>
      </w:r>
      <w:r w:rsidRPr="00DC4F42">
        <w:rPr>
          <w:rFonts w:cs="Arial"/>
          <w:color w:val="000000"/>
        </w:rPr>
        <w:t>buse was 3</w:t>
      </w:r>
      <w:r w:rsidR="005E5776">
        <w:rPr>
          <w:rFonts w:cs="Arial"/>
          <w:color w:val="000000"/>
        </w:rPr>
        <w:t>7.7</w:t>
      </w:r>
      <w:r w:rsidRPr="00DC4F42">
        <w:rPr>
          <w:rFonts w:cs="Arial"/>
          <w:color w:val="000000"/>
        </w:rPr>
        <w:t xml:space="preserve">% in </w:t>
      </w:r>
      <w:r>
        <w:rPr>
          <w:rFonts w:cs="Arial"/>
          <w:color w:val="000000"/>
        </w:rPr>
        <w:t>201</w:t>
      </w:r>
      <w:r w:rsidR="005E5776">
        <w:rPr>
          <w:rFonts w:cs="Arial"/>
          <w:color w:val="000000"/>
        </w:rPr>
        <w:t>5</w:t>
      </w:r>
      <w:r>
        <w:rPr>
          <w:rFonts w:cs="Arial"/>
          <w:color w:val="000000"/>
        </w:rPr>
        <w:t>/1</w:t>
      </w:r>
      <w:r w:rsidR="005E5776">
        <w:rPr>
          <w:rFonts w:cs="Arial"/>
          <w:color w:val="000000"/>
        </w:rPr>
        <w:t>6</w:t>
      </w:r>
      <w:r>
        <w:rPr>
          <w:rFonts w:cs="Arial"/>
          <w:color w:val="000000"/>
        </w:rPr>
        <w:t xml:space="preserve"> </w:t>
      </w:r>
      <w:r w:rsidRPr="00DC4F42">
        <w:rPr>
          <w:rFonts w:cs="Arial"/>
          <w:color w:val="000000"/>
        </w:rPr>
        <w:t xml:space="preserve">and </w:t>
      </w:r>
      <w:r w:rsidR="005E5776">
        <w:rPr>
          <w:rFonts w:cs="Arial"/>
          <w:color w:val="000000"/>
        </w:rPr>
        <w:t>24.2</w:t>
      </w:r>
      <w:r w:rsidRPr="00DC4F42">
        <w:rPr>
          <w:rFonts w:cs="Arial"/>
          <w:color w:val="000000"/>
        </w:rPr>
        <w:t xml:space="preserve">% of all violent crime in the </w:t>
      </w:r>
      <w:r>
        <w:rPr>
          <w:rFonts w:cs="Arial"/>
          <w:color w:val="000000"/>
        </w:rPr>
        <w:t>District</w:t>
      </w:r>
      <w:r w:rsidRPr="00DC4F42">
        <w:rPr>
          <w:rFonts w:cs="Arial"/>
          <w:color w:val="000000"/>
        </w:rPr>
        <w:t xml:space="preserve"> was domestic related. </w:t>
      </w:r>
    </w:p>
    <w:p w:rsidR="00264E75" w:rsidRDefault="00264E75" w:rsidP="00264E75">
      <w:pPr>
        <w:autoSpaceDE w:val="0"/>
        <w:autoSpaceDN w:val="0"/>
        <w:adjustRightInd w:val="0"/>
        <w:rPr>
          <w:rFonts w:cs="Arial"/>
          <w:color w:val="000000"/>
        </w:rPr>
      </w:pPr>
    </w:p>
    <w:p w:rsidR="00264E75" w:rsidRPr="00F6491F" w:rsidRDefault="00264E75" w:rsidP="00F6491F">
      <w:pPr>
        <w:pStyle w:val="Heading1"/>
        <w:rPr>
          <w:rFonts w:cs="Arial"/>
        </w:rPr>
      </w:pPr>
      <w:r w:rsidRPr="00F6491F">
        <w:rPr>
          <w:rFonts w:cs="Arial"/>
        </w:rPr>
        <w:t xml:space="preserve">Child </w:t>
      </w:r>
      <w:r w:rsidR="00CA4519">
        <w:rPr>
          <w:rFonts w:cs="Arial"/>
        </w:rPr>
        <w:t>Sexual</w:t>
      </w:r>
      <w:r w:rsidRPr="00F6491F">
        <w:rPr>
          <w:rFonts w:cs="Arial"/>
        </w:rPr>
        <w:t xml:space="preserve"> Exploitation</w:t>
      </w:r>
    </w:p>
    <w:p w:rsidR="00264E75" w:rsidRPr="00474180" w:rsidRDefault="00264E75" w:rsidP="00264E75">
      <w:pPr>
        <w:rPr>
          <w:rFonts w:cs="Arial"/>
        </w:rPr>
      </w:pPr>
      <w:r w:rsidRPr="00474180">
        <w:rPr>
          <w:rFonts w:cs="Arial"/>
        </w:rPr>
        <w:t xml:space="preserve">Child sexual exploitation is illegal activity by people who have power over young people and use it to sexually abuse them. This can involve a broad range of exploitative activity, from seemingly ‘consensual’ relationships and informal exchanges of sex for attention, accommodation, gifts or cigarettes, through to very serious organised crime. </w:t>
      </w:r>
      <w:r>
        <w:rPr>
          <w:rFonts w:cs="Arial"/>
        </w:rPr>
        <w:t>E</w:t>
      </w:r>
      <w:r w:rsidRPr="00474180">
        <w:rPr>
          <w:rFonts w:cs="Arial"/>
        </w:rPr>
        <w:t>stimates are based on national levels of service provision</w:t>
      </w:r>
      <w:r>
        <w:rPr>
          <w:rFonts w:cs="Arial"/>
        </w:rPr>
        <w:t xml:space="preserve"> and t</w:t>
      </w:r>
      <w:r w:rsidRPr="00474180">
        <w:rPr>
          <w:rFonts w:cs="Arial"/>
        </w:rPr>
        <w:t xml:space="preserve">he </w:t>
      </w:r>
      <w:r>
        <w:rPr>
          <w:rFonts w:cs="Arial"/>
        </w:rPr>
        <w:t>actual</w:t>
      </w:r>
      <w:r w:rsidRPr="00474180">
        <w:rPr>
          <w:rFonts w:cs="Arial"/>
        </w:rPr>
        <w:t xml:space="preserve"> number of victims of </w:t>
      </w:r>
      <w:r>
        <w:rPr>
          <w:rFonts w:cs="Arial"/>
        </w:rPr>
        <w:t xml:space="preserve">child </w:t>
      </w:r>
      <w:r w:rsidRPr="00474180">
        <w:rPr>
          <w:rFonts w:cs="Arial"/>
        </w:rPr>
        <w:t xml:space="preserve">sexual exploitation is likely to be much higher. </w:t>
      </w:r>
    </w:p>
    <w:p w:rsidR="00264E75" w:rsidRDefault="00264E75" w:rsidP="00264E75">
      <w:pPr>
        <w:rPr>
          <w:rFonts w:cs="Arial"/>
        </w:rPr>
      </w:pPr>
    </w:p>
    <w:p w:rsidR="00CA4519" w:rsidRDefault="00CA4519" w:rsidP="00613669">
      <w:pPr>
        <w:autoSpaceDE w:val="0"/>
        <w:autoSpaceDN w:val="0"/>
        <w:adjustRightInd w:val="0"/>
        <w:rPr>
          <w:rFonts w:cs="Arial"/>
          <w:szCs w:val="24"/>
        </w:rPr>
      </w:pPr>
      <w:r>
        <w:rPr>
          <w:rFonts w:cs="Arial"/>
          <w:szCs w:val="24"/>
        </w:rPr>
        <w:t>Between the 1</w:t>
      </w:r>
      <w:r w:rsidRPr="00CA4519">
        <w:rPr>
          <w:rFonts w:cs="Arial"/>
          <w:szCs w:val="24"/>
          <w:vertAlign w:val="superscript"/>
        </w:rPr>
        <w:t>st</w:t>
      </w:r>
      <w:r>
        <w:rPr>
          <w:rFonts w:cs="Arial"/>
          <w:szCs w:val="24"/>
        </w:rPr>
        <w:t xml:space="preserve"> April 2015 and the 31</w:t>
      </w:r>
      <w:r w:rsidRPr="00CA4519">
        <w:rPr>
          <w:rFonts w:cs="Arial"/>
          <w:szCs w:val="24"/>
          <w:vertAlign w:val="superscript"/>
        </w:rPr>
        <w:t>st</w:t>
      </w:r>
      <w:r>
        <w:rPr>
          <w:rFonts w:cs="Arial"/>
          <w:szCs w:val="24"/>
        </w:rPr>
        <w:t xml:space="preserve"> March 2016 there were 531 sexual offences</w:t>
      </w:r>
      <w:r w:rsidR="00613669">
        <w:rPr>
          <w:rFonts w:cs="Arial"/>
          <w:szCs w:val="24"/>
        </w:rPr>
        <w:t xml:space="preserve"> </w:t>
      </w:r>
      <w:r>
        <w:rPr>
          <w:rFonts w:cs="Arial"/>
          <w:szCs w:val="24"/>
        </w:rPr>
        <w:t>committed in Bradford against children who were under the age of 18 at the time the</w:t>
      </w:r>
      <w:r w:rsidR="00613669">
        <w:rPr>
          <w:rFonts w:cs="Arial"/>
          <w:szCs w:val="24"/>
        </w:rPr>
        <w:t xml:space="preserve"> </w:t>
      </w:r>
      <w:r>
        <w:rPr>
          <w:rFonts w:cs="Arial"/>
          <w:szCs w:val="24"/>
        </w:rPr>
        <w:t xml:space="preserve">offence was </w:t>
      </w:r>
      <w:r w:rsidR="00613669">
        <w:rPr>
          <w:rFonts w:cs="Arial"/>
          <w:szCs w:val="24"/>
        </w:rPr>
        <w:t>c</w:t>
      </w:r>
      <w:r>
        <w:rPr>
          <w:rFonts w:cs="Arial"/>
          <w:szCs w:val="24"/>
        </w:rPr>
        <w:t>ommitted. Of these crimes 109 (20%) were recorded as child sexual</w:t>
      </w:r>
      <w:r w:rsidR="00613669">
        <w:rPr>
          <w:rFonts w:cs="Arial"/>
          <w:szCs w:val="24"/>
        </w:rPr>
        <w:t xml:space="preserve"> </w:t>
      </w:r>
      <w:r>
        <w:rPr>
          <w:rFonts w:cs="Arial"/>
          <w:szCs w:val="24"/>
        </w:rPr>
        <w:t>exploitation crimes.</w:t>
      </w:r>
    </w:p>
    <w:p w:rsidR="00613669" w:rsidRDefault="00613669" w:rsidP="00613669">
      <w:pPr>
        <w:autoSpaceDE w:val="0"/>
        <w:autoSpaceDN w:val="0"/>
        <w:adjustRightInd w:val="0"/>
        <w:rPr>
          <w:rFonts w:cs="Arial"/>
        </w:rPr>
      </w:pPr>
    </w:p>
    <w:p w:rsidR="00613669" w:rsidRDefault="00613669" w:rsidP="00613669">
      <w:pPr>
        <w:autoSpaceDE w:val="0"/>
        <w:autoSpaceDN w:val="0"/>
        <w:adjustRightInd w:val="0"/>
        <w:rPr>
          <w:rFonts w:cs="Arial"/>
          <w:szCs w:val="24"/>
        </w:rPr>
      </w:pPr>
      <w:r>
        <w:rPr>
          <w:rFonts w:cs="Arial"/>
          <w:szCs w:val="24"/>
        </w:rPr>
        <w:t>Over the 2015/16 financial year there were 713 cases dealt with by the CSE Hub. Of these</w:t>
      </w:r>
    </w:p>
    <w:p w:rsidR="00264E75" w:rsidRDefault="00613669" w:rsidP="00613669">
      <w:pPr>
        <w:autoSpaceDE w:val="0"/>
        <w:autoSpaceDN w:val="0"/>
        <w:adjustRightInd w:val="0"/>
        <w:rPr>
          <w:rFonts w:cs="Arial"/>
        </w:rPr>
      </w:pPr>
      <w:r>
        <w:rPr>
          <w:rFonts w:cs="Arial"/>
          <w:szCs w:val="24"/>
        </w:rPr>
        <w:t>63 were already open on the 1</w:t>
      </w:r>
      <w:r w:rsidRPr="00613669">
        <w:rPr>
          <w:rFonts w:cs="Arial"/>
          <w:szCs w:val="24"/>
          <w:vertAlign w:val="superscript"/>
        </w:rPr>
        <w:t>st</w:t>
      </w:r>
      <w:r>
        <w:rPr>
          <w:rFonts w:cs="Arial"/>
          <w:szCs w:val="24"/>
        </w:rPr>
        <w:t xml:space="preserve"> April and were </w:t>
      </w:r>
      <w:proofErr w:type="spellStart"/>
      <w:r>
        <w:rPr>
          <w:rFonts w:cs="Arial"/>
          <w:szCs w:val="24"/>
        </w:rPr>
        <w:t>ongoing</w:t>
      </w:r>
      <w:proofErr w:type="spellEnd"/>
      <w:r>
        <w:rPr>
          <w:rFonts w:cs="Arial"/>
          <w:szCs w:val="24"/>
        </w:rPr>
        <w:t xml:space="preserve"> cases at that time. Of these referrals 217 (30%) were not identified as at risk of CSE at the time of the referral. There were 569 individual children referred to the CSE Hub and 106 of these children were referred on more than one occasion.</w:t>
      </w:r>
    </w:p>
    <w:p w:rsidR="00264E75" w:rsidRPr="00474180" w:rsidRDefault="00264E75" w:rsidP="00264E75">
      <w:pPr>
        <w:rPr>
          <w:rFonts w:cs="Arial"/>
        </w:rPr>
      </w:pPr>
    </w:p>
    <w:p w:rsidR="00264E75" w:rsidRDefault="00264E75" w:rsidP="00264E75">
      <w:pPr>
        <w:autoSpaceDE w:val="0"/>
        <w:autoSpaceDN w:val="0"/>
        <w:adjustRightInd w:val="0"/>
        <w:outlineLvl w:val="0"/>
        <w:rPr>
          <w:rFonts w:cs="Arial"/>
          <w:color w:val="000000"/>
        </w:rPr>
      </w:pPr>
    </w:p>
    <w:p w:rsidR="00264E75" w:rsidRPr="00F6491F" w:rsidRDefault="00264E75" w:rsidP="00F6491F">
      <w:pPr>
        <w:pStyle w:val="Heading1"/>
        <w:rPr>
          <w:rFonts w:cs="Arial"/>
        </w:rPr>
      </w:pPr>
      <w:r w:rsidRPr="00F6491F">
        <w:rPr>
          <w:rFonts w:cs="Arial"/>
        </w:rPr>
        <w:t xml:space="preserve">Road Safety </w:t>
      </w:r>
    </w:p>
    <w:p w:rsidR="00264E75" w:rsidRPr="00C831E8" w:rsidRDefault="00960C28" w:rsidP="00264E75">
      <w:pPr>
        <w:rPr>
          <w:rFonts w:cs="Arial"/>
          <w:color w:val="000000"/>
        </w:rPr>
      </w:pPr>
      <w:r>
        <w:rPr>
          <w:rFonts w:cs="Arial"/>
          <w:color w:val="000000"/>
        </w:rPr>
        <w:t xml:space="preserve">There has been a decrease </w:t>
      </w:r>
      <w:r w:rsidR="00264E75" w:rsidRPr="00C831E8">
        <w:rPr>
          <w:rFonts w:cs="Arial"/>
          <w:color w:val="000000"/>
        </w:rPr>
        <w:t>in the number of casualties of all severities in road traffic collisions reported to the police in 201</w:t>
      </w:r>
      <w:r>
        <w:rPr>
          <w:rFonts w:cs="Arial"/>
          <w:color w:val="000000"/>
        </w:rPr>
        <w:t>5</w:t>
      </w:r>
      <w:r w:rsidR="00264E75" w:rsidRPr="00C831E8">
        <w:rPr>
          <w:rFonts w:cs="Arial"/>
          <w:color w:val="000000"/>
        </w:rPr>
        <w:t>. The 1,</w:t>
      </w:r>
      <w:r>
        <w:rPr>
          <w:rFonts w:cs="Arial"/>
          <w:color w:val="000000"/>
        </w:rPr>
        <w:t>671 casualties recorded is a decrease of</w:t>
      </w:r>
      <w:r w:rsidR="00264E75" w:rsidRPr="00C831E8">
        <w:rPr>
          <w:rFonts w:cs="Arial"/>
          <w:color w:val="000000"/>
        </w:rPr>
        <w:t xml:space="preserve"> </w:t>
      </w:r>
      <w:r>
        <w:rPr>
          <w:rFonts w:cs="Arial"/>
          <w:color w:val="000000"/>
        </w:rPr>
        <w:t>4.</w:t>
      </w:r>
      <w:r w:rsidR="00264E75" w:rsidRPr="00C831E8">
        <w:rPr>
          <w:rFonts w:cs="Arial"/>
          <w:color w:val="000000"/>
        </w:rPr>
        <w:t>5% on last</w:t>
      </w:r>
      <w:r>
        <w:rPr>
          <w:rFonts w:cs="Arial"/>
          <w:color w:val="000000"/>
        </w:rPr>
        <w:t xml:space="preserve"> year’s (1,750</w:t>
      </w:r>
      <w:r w:rsidR="00264E75" w:rsidRPr="00C831E8">
        <w:rPr>
          <w:rFonts w:cs="Arial"/>
          <w:color w:val="000000"/>
        </w:rPr>
        <w:t>). Car occupants (</w:t>
      </w:r>
      <w:r w:rsidR="007C2FD0">
        <w:rPr>
          <w:rFonts w:cs="Arial"/>
          <w:color w:val="000000"/>
        </w:rPr>
        <w:t>-92</w:t>
      </w:r>
      <w:r w:rsidR="00264E75" w:rsidRPr="00C831E8">
        <w:rPr>
          <w:rFonts w:cs="Arial"/>
          <w:color w:val="000000"/>
        </w:rPr>
        <w:t xml:space="preserve">), </w:t>
      </w:r>
      <w:r w:rsidR="007C2FD0">
        <w:rPr>
          <w:rFonts w:cs="Arial"/>
          <w:color w:val="000000"/>
        </w:rPr>
        <w:t>cyclist (-10</w:t>
      </w:r>
      <w:r w:rsidR="00264E75" w:rsidRPr="00C831E8">
        <w:rPr>
          <w:rFonts w:cs="Arial"/>
          <w:color w:val="000000"/>
        </w:rPr>
        <w:t>)</w:t>
      </w:r>
      <w:r w:rsidR="007C2FD0">
        <w:rPr>
          <w:rFonts w:cs="Arial"/>
          <w:color w:val="000000"/>
        </w:rPr>
        <w:t xml:space="preserve"> and</w:t>
      </w:r>
      <w:r w:rsidR="00264E75" w:rsidRPr="00C831E8">
        <w:rPr>
          <w:rFonts w:cs="Arial"/>
          <w:color w:val="000000"/>
        </w:rPr>
        <w:t xml:space="preserve"> </w:t>
      </w:r>
      <w:r w:rsidR="007C2FD0" w:rsidRPr="00C831E8">
        <w:rPr>
          <w:rFonts w:cs="Arial"/>
          <w:color w:val="000000"/>
        </w:rPr>
        <w:t>motorbike riders (-</w:t>
      </w:r>
      <w:r w:rsidR="007C2FD0">
        <w:rPr>
          <w:rFonts w:cs="Arial"/>
          <w:color w:val="000000"/>
        </w:rPr>
        <w:t>4</w:t>
      </w:r>
      <w:r w:rsidR="007C2FD0" w:rsidRPr="00C831E8">
        <w:rPr>
          <w:rFonts w:cs="Arial"/>
          <w:color w:val="000000"/>
        </w:rPr>
        <w:t xml:space="preserve">) </w:t>
      </w:r>
      <w:r w:rsidR="00264E75" w:rsidRPr="00C831E8">
        <w:rPr>
          <w:rFonts w:cs="Arial"/>
          <w:color w:val="000000"/>
        </w:rPr>
        <w:t xml:space="preserve">have contributed to the overall </w:t>
      </w:r>
      <w:r w:rsidR="007C2FD0">
        <w:rPr>
          <w:rFonts w:cs="Arial"/>
          <w:color w:val="000000"/>
        </w:rPr>
        <w:t>decrease</w:t>
      </w:r>
      <w:r w:rsidR="00264E75" w:rsidRPr="00C831E8">
        <w:rPr>
          <w:rFonts w:cs="Arial"/>
          <w:color w:val="000000"/>
        </w:rPr>
        <w:t>. The</w:t>
      </w:r>
      <w:r w:rsidR="007C2FD0">
        <w:rPr>
          <w:rFonts w:cs="Arial"/>
          <w:color w:val="000000"/>
        </w:rPr>
        <w:t>re has been an increase in the number of pedestrian casualties of all severities (+30)</w:t>
      </w:r>
      <w:r w:rsidR="00264E75" w:rsidRPr="00C831E8">
        <w:rPr>
          <w:rFonts w:cs="Arial"/>
          <w:color w:val="000000"/>
        </w:rPr>
        <w:t>.</w:t>
      </w:r>
    </w:p>
    <w:p w:rsidR="00264E75" w:rsidRPr="00F61FF7" w:rsidRDefault="00264E75" w:rsidP="00264E75">
      <w:pPr>
        <w:autoSpaceDE w:val="0"/>
        <w:autoSpaceDN w:val="0"/>
        <w:adjustRightInd w:val="0"/>
        <w:rPr>
          <w:rFonts w:cs="Arial"/>
          <w:color w:val="000000"/>
          <w:sz w:val="21"/>
          <w:szCs w:val="21"/>
        </w:rPr>
      </w:pPr>
    </w:p>
    <w:p w:rsidR="00264E75" w:rsidRPr="00C831E8" w:rsidRDefault="00282788" w:rsidP="00264E75">
      <w:pPr>
        <w:rPr>
          <w:rFonts w:cs="Arial"/>
          <w:color w:val="000000"/>
        </w:rPr>
      </w:pPr>
      <w:r>
        <w:rPr>
          <w:rFonts w:cs="Arial"/>
          <w:color w:val="000000"/>
        </w:rPr>
        <w:t xml:space="preserve">The number of people </w:t>
      </w:r>
      <w:r>
        <w:rPr>
          <w:rFonts w:cs="Arial"/>
          <w:b/>
          <w:color w:val="000000"/>
        </w:rPr>
        <w:t>K</w:t>
      </w:r>
      <w:r w:rsidRPr="00282788">
        <w:rPr>
          <w:rFonts w:cs="Arial"/>
          <w:b/>
          <w:color w:val="000000"/>
        </w:rPr>
        <w:t>illed</w:t>
      </w:r>
      <w:r>
        <w:rPr>
          <w:rFonts w:cs="Arial"/>
          <w:color w:val="000000"/>
        </w:rPr>
        <w:t xml:space="preserve"> </w:t>
      </w:r>
      <w:r w:rsidR="00264E75" w:rsidRPr="00C831E8">
        <w:rPr>
          <w:rFonts w:cs="Arial"/>
          <w:b/>
          <w:color w:val="000000"/>
        </w:rPr>
        <w:t>or Seriously Injured (KSI)</w:t>
      </w:r>
      <w:r w:rsidR="00264E75" w:rsidRPr="00C831E8">
        <w:rPr>
          <w:rFonts w:cs="Arial"/>
          <w:color w:val="000000"/>
        </w:rPr>
        <w:t xml:space="preserve"> in Bradford has </w:t>
      </w:r>
      <w:r>
        <w:rPr>
          <w:rFonts w:cs="Arial"/>
          <w:color w:val="000000"/>
        </w:rPr>
        <w:t>decreased</w:t>
      </w:r>
      <w:r w:rsidR="00264E75" w:rsidRPr="00C831E8">
        <w:rPr>
          <w:rFonts w:cs="Arial"/>
          <w:color w:val="000000"/>
        </w:rPr>
        <w:t xml:space="preserve"> by 7</w:t>
      </w:r>
      <w:r>
        <w:rPr>
          <w:rFonts w:cs="Arial"/>
          <w:color w:val="000000"/>
        </w:rPr>
        <w:t>.8% (-16) to 188</w:t>
      </w:r>
      <w:r w:rsidR="00264E75" w:rsidRPr="00C831E8">
        <w:rPr>
          <w:rFonts w:cs="Arial"/>
          <w:color w:val="000000"/>
        </w:rPr>
        <w:t xml:space="preserve"> in 201</w:t>
      </w:r>
      <w:r>
        <w:rPr>
          <w:rFonts w:cs="Arial"/>
          <w:color w:val="000000"/>
        </w:rPr>
        <w:t>5 (following an increase of 7.4% the previous year to 204)</w:t>
      </w:r>
      <w:r w:rsidR="00264E75" w:rsidRPr="00C831E8">
        <w:rPr>
          <w:rFonts w:cs="Arial"/>
          <w:color w:val="000000"/>
        </w:rPr>
        <w:t>. Of that total, 7</w:t>
      </w:r>
      <w:r>
        <w:rPr>
          <w:rFonts w:cs="Arial"/>
          <w:color w:val="000000"/>
        </w:rPr>
        <w:t>1 were pedestrians (down 2.7% on previous year), 46</w:t>
      </w:r>
      <w:r w:rsidR="00264E75" w:rsidRPr="00C831E8">
        <w:rPr>
          <w:rFonts w:cs="Arial"/>
          <w:color w:val="000000"/>
        </w:rPr>
        <w:t xml:space="preserve"> car occupants</w:t>
      </w:r>
      <w:r>
        <w:rPr>
          <w:rFonts w:cs="Arial"/>
          <w:color w:val="000000"/>
        </w:rPr>
        <w:t xml:space="preserve"> (down 33.3% on the previous year)</w:t>
      </w:r>
      <w:r w:rsidR="00264E75" w:rsidRPr="00C831E8">
        <w:rPr>
          <w:rFonts w:cs="Arial"/>
          <w:color w:val="000000"/>
        </w:rPr>
        <w:t xml:space="preserve">, 35 motorcycle riders </w:t>
      </w:r>
      <w:r>
        <w:rPr>
          <w:rFonts w:cs="Arial"/>
          <w:color w:val="000000"/>
        </w:rPr>
        <w:t xml:space="preserve">(same as previous year) </w:t>
      </w:r>
      <w:r w:rsidR="00264E75" w:rsidRPr="00C831E8">
        <w:rPr>
          <w:rFonts w:cs="Arial"/>
          <w:color w:val="000000"/>
        </w:rPr>
        <w:t>and 2</w:t>
      </w:r>
      <w:r>
        <w:rPr>
          <w:rFonts w:cs="Arial"/>
          <w:color w:val="000000"/>
        </w:rPr>
        <w:t>4</w:t>
      </w:r>
      <w:r w:rsidR="00264E75" w:rsidRPr="00C831E8">
        <w:rPr>
          <w:rFonts w:cs="Arial"/>
          <w:color w:val="000000"/>
        </w:rPr>
        <w:t xml:space="preserve"> cyclists</w:t>
      </w:r>
      <w:r>
        <w:rPr>
          <w:rFonts w:cs="Arial"/>
          <w:color w:val="000000"/>
        </w:rPr>
        <w:t xml:space="preserve"> (up 20% on the previous year). Child KSI has increased by 17.9% from 28 to 33</w:t>
      </w:r>
      <w:r w:rsidR="00264E75" w:rsidRPr="00C831E8">
        <w:rPr>
          <w:rFonts w:cs="Arial"/>
          <w:color w:val="000000"/>
        </w:rPr>
        <w:t>.</w:t>
      </w:r>
    </w:p>
    <w:p w:rsidR="00264E75" w:rsidRPr="00F61FF7" w:rsidRDefault="00264E75" w:rsidP="00264E75">
      <w:pPr>
        <w:pStyle w:val="BodyText"/>
        <w:spacing w:after="0"/>
        <w:jc w:val="both"/>
        <w:rPr>
          <w:rFonts w:ascii="Arial" w:hAnsi="Arial" w:cs="Arial"/>
          <w:b/>
        </w:rPr>
      </w:pPr>
    </w:p>
    <w:p w:rsidR="00264E75" w:rsidRDefault="00264E75" w:rsidP="00264E75">
      <w:pPr>
        <w:pStyle w:val="BodyText"/>
        <w:spacing w:after="0"/>
        <w:jc w:val="both"/>
        <w:rPr>
          <w:rFonts w:ascii="Arial" w:hAnsi="Arial" w:cs="Arial"/>
          <w:b/>
        </w:rPr>
      </w:pPr>
    </w:p>
    <w:p w:rsidR="00264E75" w:rsidRPr="00F6491F" w:rsidRDefault="00264E75" w:rsidP="00F6491F">
      <w:pPr>
        <w:pStyle w:val="Heading1"/>
        <w:rPr>
          <w:rFonts w:cs="Arial"/>
        </w:rPr>
      </w:pPr>
      <w:r w:rsidRPr="00F6491F">
        <w:rPr>
          <w:rFonts w:cs="Arial"/>
        </w:rPr>
        <w:t xml:space="preserve">Satisfaction with the local area </w:t>
      </w:r>
    </w:p>
    <w:p w:rsidR="00264E75" w:rsidRPr="00A75754" w:rsidRDefault="00264E75" w:rsidP="00264E75">
      <w:pPr>
        <w:pStyle w:val="BodyText"/>
        <w:spacing w:after="0"/>
        <w:jc w:val="both"/>
        <w:rPr>
          <w:rFonts w:ascii="Arial" w:hAnsi="Arial" w:cs="Arial"/>
          <w:b/>
          <w:i/>
        </w:rPr>
      </w:pPr>
    </w:p>
    <w:tbl>
      <w:tblPr>
        <w:tblW w:w="9513" w:type="dxa"/>
        <w:tblInd w:w="93" w:type="dxa"/>
        <w:tblLayout w:type="fixed"/>
        <w:tblLook w:val="04A0" w:firstRow="1" w:lastRow="0" w:firstColumn="1" w:lastColumn="0" w:noHBand="0" w:noVBand="1"/>
      </w:tblPr>
      <w:tblGrid>
        <w:gridCol w:w="5640"/>
        <w:gridCol w:w="1321"/>
        <w:gridCol w:w="1276"/>
        <w:gridCol w:w="1276"/>
      </w:tblGrid>
      <w:tr w:rsidR="00282788" w:rsidTr="00E24C97">
        <w:trPr>
          <w:trHeight w:val="330"/>
        </w:trPr>
        <w:tc>
          <w:tcPr>
            <w:tcW w:w="5640" w:type="dxa"/>
            <w:tcBorders>
              <w:top w:val="single" w:sz="8" w:space="0" w:color="auto"/>
              <w:left w:val="single" w:sz="8" w:space="0" w:color="auto"/>
              <w:bottom w:val="single" w:sz="8" w:space="0" w:color="auto"/>
              <w:right w:val="single" w:sz="8" w:space="0" w:color="auto"/>
            </w:tcBorders>
            <w:shd w:val="clear" w:color="auto" w:fill="1F497D" w:themeFill="text2"/>
            <w:vAlign w:val="center"/>
            <w:hideMark/>
          </w:tcPr>
          <w:p w:rsidR="00282788" w:rsidRPr="00542261" w:rsidRDefault="00282788" w:rsidP="00737793">
            <w:pPr>
              <w:rPr>
                <w:rFonts w:cs="Arial"/>
                <w:b/>
                <w:bCs/>
                <w:color w:val="FFFFFF" w:themeColor="background1"/>
                <w:szCs w:val="24"/>
              </w:rPr>
            </w:pPr>
            <w:r w:rsidRPr="00542261">
              <w:rPr>
                <w:color w:val="FFFFFF" w:themeColor="background1"/>
                <w:szCs w:val="24"/>
              </w:rPr>
              <w:t>Over the past three years, residents have reported relatively consistent levels of satisfaction with their local area:</w:t>
            </w:r>
            <w:r w:rsidRPr="00542261">
              <w:rPr>
                <w:rFonts w:cs="Arial"/>
                <w:b/>
                <w:bCs/>
                <w:color w:val="FFFFFF" w:themeColor="background1"/>
                <w:szCs w:val="24"/>
              </w:rPr>
              <w:t> </w:t>
            </w:r>
          </w:p>
        </w:tc>
        <w:tc>
          <w:tcPr>
            <w:tcW w:w="1321" w:type="dxa"/>
            <w:tcBorders>
              <w:top w:val="single" w:sz="8" w:space="0" w:color="auto"/>
              <w:left w:val="nil"/>
              <w:bottom w:val="single" w:sz="8" w:space="0" w:color="auto"/>
              <w:right w:val="single" w:sz="8" w:space="0" w:color="auto"/>
            </w:tcBorders>
            <w:shd w:val="clear" w:color="auto" w:fill="1F497D" w:themeFill="text2"/>
            <w:vAlign w:val="center"/>
            <w:hideMark/>
          </w:tcPr>
          <w:p w:rsidR="00282788" w:rsidRPr="00542261" w:rsidRDefault="00282788" w:rsidP="00870792">
            <w:pPr>
              <w:jc w:val="center"/>
              <w:rPr>
                <w:rFonts w:cs="Arial"/>
                <w:b/>
                <w:bCs/>
                <w:color w:val="FFFFFF" w:themeColor="background1"/>
                <w:szCs w:val="24"/>
              </w:rPr>
            </w:pPr>
            <w:r w:rsidRPr="00542261">
              <w:rPr>
                <w:rFonts w:cs="Arial"/>
                <w:b/>
                <w:bCs/>
                <w:color w:val="FFFFFF" w:themeColor="background1"/>
                <w:szCs w:val="24"/>
              </w:rPr>
              <w:t>2013/14</w:t>
            </w:r>
          </w:p>
        </w:tc>
        <w:tc>
          <w:tcPr>
            <w:tcW w:w="1276" w:type="dxa"/>
            <w:tcBorders>
              <w:top w:val="single" w:sz="8" w:space="0" w:color="auto"/>
              <w:left w:val="nil"/>
              <w:bottom w:val="single" w:sz="8" w:space="0" w:color="auto"/>
              <w:right w:val="single" w:sz="8" w:space="0" w:color="auto"/>
            </w:tcBorders>
            <w:shd w:val="clear" w:color="auto" w:fill="1F497D" w:themeFill="text2"/>
            <w:vAlign w:val="center"/>
            <w:hideMark/>
          </w:tcPr>
          <w:p w:rsidR="00282788" w:rsidRPr="00542261" w:rsidRDefault="00282788" w:rsidP="00870792">
            <w:pPr>
              <w:jc w:val="center"/>
              <w:rPr>
                <w:rFonts w:cs="Arial"/>
                <w:b/>
                <w:bCs/>
                <w:color w:val="FFFFFF" w:themeColor="background1"/>
                <w:szCs w:val="24"/>
              </w:rPr>
            </w:pPr>
            <w:r w:rsidRPr="00542261">
              <w:rPr>
                <w:rFonts w:cs="Arial"/>
                <w:b/>
                <w:bCs/>
                <w:color w:val="FFFFFF" w:themeColor="background1"/>
                <w:szCs w:val="24"/>
              </w:rPr>
              <w:t>2014/15</w:t>
            </w:r>
          </w:p>
        </w:tc>
        <w:tc>
          <w:tcPr>
            <w:tcW w:w="1276" w:type="dxa"/>
            <w:tcBorders>
              <w:top w:val="single" w:sz="8" w:space="0" w:color="auto"/>
              <w:left w:val="nil"/>
              <w:bottom w:val="single" w:sz="8" w:space="0" w:color="auto"/>
              <w:right w:val="single" w:sz="8" w:space="0" w:color="auto"/>
            </w:tcBorders>
            <w:shd w:val="clear" w:color="auto" w:fill="1F497D" w:themeFill="text2"/>
            <w:vAlign w:val="center"/>
            <w:hideMark/>
          </w:tcPr>
          <w:p w:rsidR="00282788" w:rsidRPr="00542261" w:rsidRDefault="00282788" w:rsidP="00282788">
            <w:pPr>
              <w:jc w:val="center"/>
              <w:rPr>
                <w:rFonts w:cs="Arial"/>
                <w:b/>
                <w:bCs/>
                <w:color w:val="FFFFFF" w:themeColor="background1"/>
                <w:szCs w:val="24"/>
              </w:rPr>
            </w:pPr>
            <w:r w:rsidRPr="00542261">
              <w:rPr>
                <w:rFonts w:cs="Arial"/>
                <w:b/>
                <w:bCs/>
                <w:color w:val="FFFFFF" w:themeColor="background1"/>
                <w:szCs w:val="24"/>
              </w:rPr>
              <w:t>201</w:t>
            </w:r>
            <w:r>
              <w:rPr>
                <w:rFonts w:cs="Arial"/>
                <w:b/>
                <w:bCs/>
                <w:color w:val="FFFFFF" w:themeColor="background1"/>
                <w:szCs w:val="24"/>
              </w:rPr>
              <w:t>5</w:t>
            </w:r>
            <w:r w:rsidRPr="00542261">
              <w:rPr>
                <w:rFonts w:cs="Arial"/>
                <w:b/>
                <w:bCs/>
                <w:color w:val="FFFFFF" w:themeColor="background1"/>
                <w:szCs w:val="24"/>
              </w:rPr>
              <w:t>/1</w:t>
            </w:r>
            <w:r>
              <w:rPr>
                <w:rFonts w:cs="Arial"/>
                <w:b/>
                <w:bCs/>
                <w:color w:val="FFFFFF" w:themeColor="background1"/>
                <w:szCs w:val="24"/>
              </w:rPr>
              <w:t>6</w:t>
            </w:r>
          </w:p>
        </w:tc>
      </w:tr>
      <w:tr w:rsidR="00282788" w:rsidTr="00E24C97">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282788" w:rsidRPr="00542261" w:rsidRDefault="00282788" w:rsidP="00737793">
            <w:pPr>
              <w:rPr>
                <w:rFonts w:cs="Arial"/>
                <w:color w:val="000000"/>
                <w:szCs w:val="24"/>
              </w:rPr>
            </w:pPr>
            <w:r w:rsidRPr="00542261">
              <w:rPr>
                <w:rFonts w:cs="Arial"/>
                <w:color w:val="000000"/>
                <w:szCs w:val="24"/>
              </w:rPr>
              <w:t>% of people satisfied with their local area as a place to live</w:t>
            </w:r>
          </w:p>
        </w:tc>
        <w:tc>
          <w:tcPr>
            <w:tcW w:w="1321" w:type="dxa"/>
            <w:tcBorders>
              <w:top w:val="nil"/>
              <w:left w:val="nil"/>
              <w:bottom w:val="single" w:sz="8" w:space="0" w:color="auto"/>
              <w:right w:val="single" w:sz="8" w:space="0" w:color="auto"/>
            </w:tcBorders>
            <w:shd w:val="clear" w:color="auto" w:fill="auto"/>
            <w:vAlign w:val="center"/>
            <w:hideMark/>
          </w:tcPr>
          <w:p w:rsidR="00282788" w:rsidRPr="00542261" w:rsidRDefault="00282788" w:rsidP="00870792">
            <w:pPr>
              <w:jc w:val="center"/>
              <w:rPr>
                <w:rFonts w:cs="Arial"/>
                <w:b/>
                <w:bCs/>
                <w:color w:val="000000"/>
                <w:szCs w:val="24"/>
              </w:rPr>
            </w:pPr>
            <w:r w:rsidRPr="00542261">
              <w:rPr>
                <w:rFonts w:cs="Arial"/>
                <w:b/>
                <w:bCs/>
                <w:color w:val="000000"/>
                <w:szCs w:val="24"/>
              </w:rPr>
              <w:t>71.2%</w:t>
            </w:r>
          </w:p>
        </w:tc>
        <w:tc>
          <w:tcPr>
            <w:tcW w:w="1276" w:type="dxa"/>
            <w:tcBorders>
              <w:top w:val="nil"/>
              <w:left w:val="nil"/>
              <w:bottom w:val="single" w:sz="8" w:space="0" w:color="auto"/>
              <w:right w:val="single" w:sz="8" w:space="0" w:color="auto"/>
            </w:tcBorders>
            <w:shd w:val="clear" w:color="auto" w:fill="auto"/>
            <w:vAlign w:val="center"/>
            <w:hideMark/>
          </w:tcPr>
          <w:p w:rsidR="00282788" w:rsidRPr="00542261" w:rsidRDefault="00282788" w:rsidP="00870792">
            <w:pPr>
              <w:jc w:val="center"/>
              <w:rPr>
                <w:rFonts w:cs="Arial"/>
                <w:b/>
                <w:bCs/>
                <w:color w:val="000000"/>
                <w:szCs w:val="24"/>
              </w:rPr>
            </w:pPr>
            <w:r w:rsidRPr="00542261">
              <w:rPr>
                <w:rFonts w:cs="Arial"/>
                <w:b/>
                <w:bCs/>
                <w:color w:val="000000"/>
                <w:szCs w:val="24"/>
              </w:rPr>
              <w:t>70.8%</w:t>
            </w:r>
          </w:p>
        </w:tc>
        <w:tc>
          <w:tcPr>
            <w:tcW w:w="1276" w:type="dxa"/>
            <w:tcBorders>
              <w:top w:val="nil"/>
              <w:left w:val="nil"/>
              <w:bottom w:val="single" w:sz="8" w:space="0" w:color="auto"/>
              <w:right w:val="single" w:sz="8" w:space="0" w:color="auto"/>
            </w:tcBorders>
            <w:shd w:val="clear" w:color="auto" w:fill="auto"/>
            <w:vAlign w:val="center"/>
            <w:hideMark/>
          </w:tcPr>
          <w:p w:rsidR="00282788" w:rsidRPr="00542261" w:rsidRDefault="00282788" w:rsidP="00737793">
            <w:pPr>
              <w:jc w:val="center"/>
              <w:rPr>
                <w:rFonts w:cs="Arial"/>
                <w:b/>
                <w:bCs/>
                <w:color w:val="000000"/>
                <w:szCs w:val="24"/>
              </w:rPr>
            </w:pPr>
            <w:r>
              <w:rPr>
                <w:rFonts w:cs="Arial"/>
                <w:b/>
                <w:bCs/>
                <w:color w:val="000000"/>
                <w:szCs w:val="24"/>
              </w:rPr>
              <w:t>70.2</w:t>
            </w:r>
            <w:r w:rsidRPr="00542261">
              <w:rPr>
                <w:rFonts w:cs="Arial"/>
                <w:b/>
                <w:bCs/>
                <w:color w:val="000000"/>
                <w:szCs w:val="24"/>
              </w:rPr>
              <w:t>%</w:t>
            </w:r>
          </w:p>
        </w:tc>
      </w:tr>
      <w:tr w:rsidR="00264E75" w:rsidTr="00E24C97">
        <w:trPr>
          <w:trHeight w:val="315"/>
        </w:trPr>
        <w:tc>
          <w:tcPr>
            <w:tcW w:w="9513"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64E75" w:rsidRPr="00542261" w:rsidRDefault="00264E75" w:rsidP="00737793">
            <w:pPr>
              <w:rPr>
                <w:rFonts w:cs="Arial"/>
                <w:i/>
                <w:iCs/>
                <w:color w:val="000000"/>
                <w:sz w:val="18"/>
                <w:szCs w:val="18"/>
              </w:rPr>
            </w:pPr>
            <w:r w:rsidRPr="00542261">
              <w:rPr>
                <w:rFonts w:cs="Arial"/>
                <w:i/>
                <w:iCs/>
                <w:color w:val="000000"/>
                <w:sz w:val="18"/>
                <w:szCs w:val="18"/>
              </w:rPr>
              <w:t>Source:</w:t>
            </w:r>
            <w:r w:rsidRPr="00542261">
              <w:rPr>
                <w:color w:val="000000"/>
                <w:sz w:val="18"/>
                <w:szCs w:val="18"/>
              </w:rPr>
              <w:t xml:space="preserve"> </w:t>
            </w:r>
            <w:r w:rsidRPr="00542261">
              <w:rPr>
                <w:rFonts w:cs="Arial"/>
                <w:i/>
                <w:iCs/>
                <w:color w:val="000000"/>
                <w:sz w:val="18"/>
                <w:szCs w:val="18"/>
              </w:rPr>
              <w:t>West Yorkshire Police / Office of the Crime Commissioner’s Perception Survey</w:t>
            </w:r>
          </w:p>
        </w:tc>
      </w:tr>
    </w:tbl>
    <w:p w:rsidR="00264E75" w:rsidRDefault="00264E75" w:rsidP="00264E75">
      <w:pPr>
        <w:pStyle w:val="BodyText"/>
        <w:spacing w:after="0"/>
        <w:jc w:val="both"/>
        <w:rPr>
          <w:rFonts w:ascii="Arial" w:hAnsi="Arial"/>
        </w:rPr>
      </w:pPr>
    </w:p>
    <w:p w:rsidR="00264E75" w:rsidRPr="00865D74" w:rsidRDefault="00264E75" w:rsidP="00264E75">
      <w:pPr>
        <w:pStyle w:val="BodyText"/>
        <w:spacing w:after="0"/>
        <w:rPr>
          <w:rFonts w:ascii="Arial" w:hAnsi="Arial" w:cs="Arial"/>
        </w:rPr>
      </w:pPr>
      <w:r>
        <w:rPr>
          <w:rFonts w:ascii="Arial" w:hAnsi="Arial" w:cs="Arial"/>
        </w:rPr>
        <w:lastRenderedPageBreak/>
        <w:t>There is a strong relationship</w:t>
      </w:r>
      <w:r w:rsidRPr="00CC0345">
        <w:rPr>
          <w:rFonts w:ascii="Arial" w:hAnsi="Arial" w:cs="Arial"/>
        </w:rPr>
        <w:t xml:space="preserve"> </w:t>
      </w:r>
      <w:r>
        <w:rPr>
          <w:rFonts w:ascii="Arial" w:hAnsi="Arial" w:cs="Arial"/>
        </w:rPr>
        <w:t>between a feeling of belonging and</w:t>
      </w:r>
      <w:r w:rsidRPr="00CC0345">
        <w:rPr>
          <w:rFonts w:ascii="Arial" w:hAnsi="Arial" w:cs="Arial"/>
        </w:rPr>
        <w:t xml:space="preserve"> satisfaction with the local area: </w:t>
      </w:r>
      <w:r>
        <w:rPr>
          <w:rFonts w:ascii="Arial" w:hAnsi="Arial" w:cs="Arial"/>
        </w:rPr>
        <w:t xml:space="preserve">data from the Perceptions survey shows </w:t>
      </w:r>
      <w:r w:rsidRPr="00CC0345">
        <w:rPr>
          <w:rFonts w:ascii="Arial" w:hAnsi="Arial" w:cs="Arial"/>
        </w:rPr>
        <w:t>those who speak highly</w:t>
      </w:r>
      <w:r>
        <w:rPr>
          <w:rFonts w:ascii="Arial" w:hAnsi="Arial" w:cs="Arial"/>
        </w:rPr>
        <w:t xml:space="preserve"> </w:t>
      </w:r>
      <w:r w:rsidRPr="00CC0345">
        <w:rPr>
          <w:rFonts w:ascii="Arial" w:hAnsi="Arial" w:cs="Arial"/>
        </w:rPr>
        <w:t>of their area are more than twice as likely to feel a strong sense of belonging compared to those who a</w:t>
      </w:r>
      <w:r>
        <w:rPr>
          <w:rFonts w:ascii="Arial" w:hAnsi="Arial" w:cs="Arial"/>
        </w:rPr>
        <w:t xml:space="preserve">re dissatisfied. Community Safety has a significant influence over people thinking their area is a good place to live.  </w:t>
      </w:r>
    </w:p>
    <w:p w:rsidR="00264E75" w:rsidRPr="00865D74" w:rsidRDefault="00264E75" w:rsidP="00264E75">
      <w:pPr>
        <w:autoSpaceDE w:val="0"/>
        <w:autoSpaceDN w:val="0"/>
        <w:adjustRightInd w:val="0"/>
        <w:rPr>
          <w:rFonts w:cs="Arial"/>
        </w:rPr>
      </w:pPr>
    </w:p>
    <w:p w:rsidR="00264E75" w:rsidRDefault="00264E75" w:rsidP="00264E75">
      <w:pPr>
        <w:pStyle w:val="BodyText"/>
        <w:spacing w:after="0"/>
        <w:rPr>
          <w:rFonts w:ascii="Arial" w:hAnsi="Arial" w:cs="Arial"/>
        </w:rPr>
      </w:pPr>
      <w:r w:rsidRPr="00865D74">
        <w:rPr>
          <w:rFonts w:ascii="Arial" w:hAnsi="Arial" w:cs="Arial"/>
        </w:rPr>
        <w:t>Some communities of interest are significantly less satisfied with the local area than the general population.  Those with a long-term illness/disability are less satisfied than the rest of the population</w:t>
      </w:r>
      <w:r>
        <w:rPr>
          <w:rFonts w:ascii="Arial" w:hAnsi="Arial" w:cs="Arial"/>
        </w:rPr>
        <w:t>,</w:t>
      </w:r>
      <w:r w:rsidRPr="00865D74">
        <w:rPr>
          <w:rFonts w:ascii="Arial" w:hAnsi="Arial" w:cs="Arial"/>
        </w:rPr>
        <w:t xml:space="preserve"> as are those who act as a carer. </w:t>
      </w:r>
      <w:r>
        <w:rPr>
          <w:rFonts w:ascii="Arial" w:hAnsi="Arial" w:cs="Arial"/>
        </w:rPr>
        <w:t xml:space="preserve">  </w:t>
      </w:r>
    </w:p>
    <w:p w:rsidR="00264E75" w:rsidRDefault="00264E75" w:rsidP="00264E75">
      <w:pPr>
        <w:pStyle w:val="BodyText"/>
        <w:spacing w:after="0"/>
        <w:jc w:val="both"/>
        <w:rPr>
          <w:rFonts w:ascii="Arial" w:hAnsi="Arial" w:cs="Arial"/>
        </w:rPr>
      </w:pPr>
    </w:p>
    <w:p w:rsidR="00264E75" w:rsidRPr="00F6491F" w:rsidRDefault="00264E75" w:rsidP="00F23906">
      <w:pPr>
        <w:pStyle w:val="Heading1"/>
        <w:rPr>
          <w:rFonts w:cs="Arial"/>
        </w:rPr>
      </w:pPr>
      <w:r w:rsidRPr="00F6491F">
        <w:rPr>
          <w:rFonts w:cs="Arial"/>
        </w:rPr>
        <w:t>Community relations</w:t>
      </w:r>
    </w:p>
    <w:p w:rsidR="00264E75" w:rsidRDefault="00264E75" w:rsidP="00F23906">
      <w:pPr>
        <w:keepNext/>
        <w:keepLines/>
        <w:autoSpaceDE w:val="0"/>
        <w:autoSpaceDN w:val="0"/>
        <w:adjustRightInd w:val="0"/>
        <w:rPr>
          <w:rFonts w:cs="Arial"/>
        </w:rPr>
      </w:pPr>
      <w:r w:rsidRPr="003F1DBA">
        <w:rPr>
          <w:rFonts w:cs="Arial"/>
        </w:rPr>
        <w:t xml:space="preserve">As a </w:t>
      </w:r>
      <w:r>
        <w:rPr>
          <w:rFonts w:cs="Arial"/>
        </w:rPr>
        <w:t>District</w:t>
      </w:r>
      <w:r w:rsidRPr="003F1DBA">
        <w:rPr>
          <w:rFonts w:cs="Arial"/>
        </w:rPr>
        <w:t xml:space="preserve"> with both high levels of inequality and deprivation and an ethnically and culturally diverse population, Bradford faces challenges to its aspirations to be a </w:t>
      </w:r>
      <w:r>
        <w:rPr>
          <w:rFonts w:cs="Arial"/>
        </w:rPr>
        <w:t>District</w:t>
      </w:r>
      <w:r w:rsidRPr="003F1DBA">
        <w:rPr>
          <w:rFonts w:cs="Arial"/>
        </w:rPr>
        <w:t xml:space="preserve"> where people from different communities get on well together and respect and celebrate their differences. </w:t>
      </w:r>
    </w:p>
    <w:p w:rsidR="00264E75" w:rsidRDefault="00264E75" w:rsidP="00F23906">
      <w:pPr>
        <w:keepNext/>
        <w:keepLines/>
        <w:rPr>
          <w:rFonts w:cs="Arial"/>
        </w:rPr>
      </w:pPr>
    </w:p>
    <w:p w:rsidR="00264E75" w:rsidRDefault="00264E75" w:rsidP="00F23906">
      <w:pPr>
        <w:keepNext/>
        <w:keepLines/>
        <w:rPr>
          <w:rFonts w:cs="Arial"/>
          <w:color w:val="000000"/>
        </w:rPr>
      </w:pPr>
      <w:r>
        <w:rPr>
          <w:rFonts w:cs="Arial"/>
        </w:rPr>
        <w:t xml:space="preserve">Hate crime is an indicator of community tensions.  </w:t>
      </w:r>
      <w:r w:rsidR="00B26733">
        <w:rPr>
          <w:rFonts w:cs="Arial"/>
          <w:color w:val="000000"/>
        </w:rPr>
        <w:t>In 2015/16 964</w:t>
      </w:r>
      <w:r>
        <w:rPr>
          <w:rFonts w:cs="Arial"/>
          <w:color w:val="000000"/>
        </w:rPr>
        <w:t xml:space="preserve"> Hate Crimes were recorded by West Yorkshire </w:t>
      </w:r>
      <w:r w:rsidR="00B26733">
        <w:rPr>
          <w:rFonts w:cs="Arial"/>
          <w:color w:val="000000"/>
        </w:rPr>
        <w:t>Police, this is an increase of 77</w:t>
      </w:r>
      <w:r>
        <w:rPr>
          <w:rFonts w:cs="Arial"/>
          <w:color w:val="000000"/>
        </w:rPr>
        <w:t xml:space="preserve">% compared to the previous year. </w:t>
      </w:r>
      <w:r w:rsidRPr="007473B7">
        <w:rPr>
          <w:rFonts w:cs="Arial"/>
          <w:color w:val="000000"/>
        </w:rPr>
        <w:t xml:space="preserve">The underreporting of hate </w:t>
      </w:r>
      <w:r>
        <w:rPr>
          <w:rFonts w:cs="Arial"/>
          <w:color w:val="000000"/>
        </w:rPr>
        <w:t>c</w:t>
      </w:r>
      <w:r w:rsidR="003A637D">
        <w:rPr>
          <w:rFonts w:cs="Arial"/>
          <w:color w:val="000000"/>
        </w:rPr>
        <w:t>rime, although improved, remains</w:t>
      </w:r>
      <w:r w:rsidRPr="007473B7">
        <w:rPr>
          <w:rFonts w:cs="Arial"/>
          <w:color w:val="000000"/>
        </w:rPr>
        <w:t xml:space="preserve"> a challenge for the District</w:t>
      </w:r>
      <w:r>
        <w:rPr>
          <w:rFonts w:cs="Arial"/>
          <w:color w:val="000000"/>
        </w:rPr>
        <w:t xml:space="preserve"> an</w:t>
      </w:r>
      <w:r w:rsidRPr="007473B7">
        <w:rPr>
          <w:rFonts w:cs="Arial"/>
          <w:color w:val="000000"/>
        </w:rPr>
        <w:t xml:space="preserve">d there is a clear need to improve reporting for Sexual Orientation, Disability, Faith and </w:t>
      </w:r>
      <w:r>
        <w:rPr>
          <w:rFonts w:cs="Arial"/>
          <w:color w:val="000000"/>
        </w:rPr>
        <w:t>LGBT</w:t>
      </w:r>
      <w:r w:rsidRPr="007473B7">
        <w:rPr>
          <w:rFonts w:cs="Arial"/>
          <w:color w:val="000000"/>
        </w:rPr>
        <w:t xml:space="preserve"> Hate Crime.</w:t>
      </w:r>
      <w:r>
        <w:rPr>
          <w:rFonts w:cs="Arial"/>
          <w:color w:val="000000"/>
        </w:rPr>
        <w:t xml:space="preserve"> </w:t>
      </w:r>
    </w:p>
    <w:p w:rsidR="00264E75" w:rsidRDefault="00264E75" w:rsidP="00F23906">
      <w:pPr>
        <w:keepNext/>
        <w:keepLines/>
        <w:autoSpaceDE w:val="0"/>
        <w:autoSpaceDN w:val="0"/>
        <w:adjustRightInd w:val="0"/>
        <w:rPr>
          <w:rFonts w:cs="Arial"/>
        </w:rPr>
      </w:pPr>
    </w:p>
    <w:p w:rsidR="00264E75" w:rsidRDefault="00264E75" w:rsidP="00F23906">
      <w:pPr>
        <w:keepNext/>
        <w:keepLines/>
        <w:autoSpaceDE w:val="0"/>
        <w:autoSpaceDN w:val="0"/>
        <w:adjustRightInd w:val="0"/>
        <w:rPr>
          <w:rFonts w:cs="Arial"/>
        </w:rPr>
      </w:pPr>
      <w:r>
        <w:rPr>
          <w:rFonts w:cs="Arial"/>
        </w:rPr>
        <w:t>Bradford has a tradition of welcoming new arrivals from around the world and is a District where people from different backgrounds do, on the whole, get on well together.  The Office of the Crime Commissioner Survey findings show improvements over the last two years in response to the question ‘</w:t>
      </w:r>
      <w:r w:rsidRPr="00C604F4">
        <w:rPr>
          <w:rFonts w:cs="Arial"/>
        </w:rPr>
        <w:t xml:space="preserve">% of people who agree that </w:t>
      </w:r>
      <w:r>
        <w:rPr>
          <w:rFonts w:cs="Arial"/>
        </w:rPr>
        <w:t xml:space="preserve">their </w:t>
      </w:r>
      <w:r w:rsidRPr="00C604F4">
        <w:rPr>
          <w:rFonts w:cs="Arial"/>
        </w:rPr>
        <w:t>local area is a pl</w:t>
      </w:r>
      <w:r>
        <w:rPr>
          <w:rFonts w:cs="Arial"/>
        </w:rPr>
        <w:t xml:space="preserve">ace where people from different </w:t>
      </w:r>
      <w:r w:rsidRPr="00C604F4">
        <w:rPr>
          <w:rFonts w:cs="Arial"/>
        </w:rPr>
        <w:t>backgrounds and communities live together harmoniously</w:t>
      </w:r>
      <w:r>
        <w:rPr>
          <w:rFonts w:cs="Arial"/>
        </w:rPr>
        <w:t xml:space="preserve">’. </w:t>
      </w:r>
    </w:p>
    <w:p w:rsidR="00264E75" w:rsidRDefault="00264E75" w:rsidP="00264E75">
      <w:pPr>
        <w:autoSpaceDE w:val="0"/>
        <w:autoSpaceDN w:val="0"/>
        <w:adjustRightInd w:val="0"/>
        <w:rPr>
          <w:rStyle w:val="CommentReference"/>
        </w:rPr>
      </w:pPr>
    </w:p>
    <w:p w:rsidR="00264E75" w:rsidRDefault="00264E75" w:rsidP="00264E75">
      <w:pPr>
        <w:autoSpaceDE w:val="0"/>
        <w:autoSpaceDN w:val="0"/>
        <w:adjustRightInd w:val="0"/>
        <w:rPr>
          <w:rStyle w:val="CommentReference"/>
        </w:rPr>
      </w:pPr>
    </w:p>
    <w:tbl>
      <w:tblPr>
        <w:tblW w:w="9229" w:type="dxa"/>
        <w:tblInd w:w="93" w:type="dxa"/>
        <w:tblLayout w:type="fixed"/>
        <w:tblLook w:val="04A0" w:firstRow="1" w:lastRow="0" w:firstColumn="1" w:lastColumn="0" w:noHBand="0" w:noVBand="1"/>
      </w:tblPr>
      <w:tblGrid>
        <w:gridCol w:w="5827"/>
        <w:gridCol w:w="1134"/>
        <w:gridCol w:w="1154"/>
        <w:gridCol w:w="1114"/>
      </w:tblGrid>
      <w:tr w:rsidR="00514096" w:rsidTr="00264E75">
        <w:trPr>
          <w:trHeight w:val="330"/>
        </w:trPr>
        <w:tc>
          <w:tcPr>
            <w:tcW w:w="5827" w:type="dxa"/>
            <w:tcBorders>
              <w:top w:val="single" w:sz="8" w:space="0" w:color="auto"/>
              <w:left w:val="single" w:sz="8" w:space="0" w:color="auto"/>
              <w:bottom w:val="single" w:sz="8" w:space="0" w:color="auto"/>
              <w:right w:val="single" w:sz="8" w:space="0" w:color="auto"/>
            </w:tcBorders>
            <w:shd w:val="clear" w:color="auto" w:fill="1F497D" w:themeFill="text2"/>
            <w:vAlign w:val="center"/>
            <w:hideMark/>
          </w:tcPr>
          <w:p w:rsidR="00514096" w:rsidRPr="00542261" w:rsidRDefault="00514096" w:rsidP="00737793">
            <w:pPr>
              <w:rPr>
                <w:rFonts w:cs="Arial"/>
                <w:b/>
                <w:bCs/>
                <w:szCs w:val="24"/>
              </w:rPr>
            </w:pPr>
            <w:r w:rsidRPr="00542261">
              <w:rPr>
                <w:rFonts w:cs="Arial"/>
                <w:b/>
                <w:bCs/>
                <w:szCs w:val="24"/>
              </w:rPr>
              <w:t> </w:t>
            </w:r>
          </w:p>
        </w:tc>
        <w:tc>
          <w:tcPr>
            <w:tcW w:w="1134" w:type="dxa"/>
            <w:tcBorders>
              <w:top w:val="single" w:sz="8" w:space="0" w:color="auto"/>
              <w:left w:val="nil"/>
              <w:bottom w:val="single" w:sz="8" w:space="0" w:color="auto"/>
              <w:right w:val="single" w:sz="8" w:space="0" w:color="auto"/>
            </w:tcBorders>
            <w:shd w:val="clear" w:color="auto" w:fill="1F497D" w:themeFill="text2"/>
            <w:vAlign w:val="center"/>
            <w:hideMark/>
          </w:tcPr>
          <w:p w:rsidR="00514096" w:rsidRPr="00542261" w:rsidRDefault="00514096" w:rsidP="00870792">
            <w:pPr>
              <w:jc w:val="center"/>
              <w:rPr>
                <w:rFonts w:cs="Arial"/>
                <w:b/>
                <w:bCs/>
                <w:color w:val="FFFFFF" w:themeColor="background1"/>
                <w:szCs w:val="24"/>
              </w:rPr>
            </w:pPr>
            <w:r w:rsidRPr="00542261">
              <w:rPr>
                <w:rFonts w:cs="Arial"/>
                <w:b/>
                <w:bCs/>
                <w:color w:val="FFFFFF" w:themeColor="background1"/>
                <w:szCs w:val="24"/>
              </w:rPr>
              <w:t>2013/14</w:t>
            </w:r>
          </w:p>
        </w:tc>
        <w:tc>
          <w:tcPr>
            <w:tcW w:w="1154" w:type="dxa"/>
            <w:tcBorders>
              <w:top w:val="single" w:sz="8" w:space="0" w:color="auto"/>
              <w:left w:val="nil"/>
              <w:bottom w:val="single" w:sz="8" w:space="0" w:color="auto"/>
              <w:right w:val="single" w:sz="8" w:space="0" w:color="auto"/>
            </w:tcBorders>
            <w:shd w:val="clear" w:color="auto" w:fill="1F497D" w:themeFill="text2"/>
            <w:vAlign w:val="center"/>
            <w:hideMark/>
          </w:tcPr>
          <w:p w:rsidR="00514096" w:rsidRPr="00542261" w:rsidRDefault="00514096" w:rsidP="00870792">
            <w:pPr>
              <w:jc w:val="center"/>
              <w:rPr>
                <w:rFonts w:cs="Arial"/>
                <w:b/>
                <w:bCs/>
                <w:color w:val="FFFFFF" w:themeColor="background1"/>
                <w:szCs w:val="24"/>
              </w:rPr>
            </w:pPr>
            <w:r w:rsidRPr="00542261">
              <w:rPr>
                <w:rFonts w:cs="Arial"/>
                <w:b/>
                <w:bCs/>
                <w:color w:val="FFFFFF" w:themeColor="background1"/>
                <w:szCs w:val="24"/>
              </w:rPr>
              <w:t>2014/15</w:t>
            </w:r>
          </w:p>
        </w:tc>
        <w:tc>
          <w:tcPr>
            <w:tcW w:w="1114" w:type="dxa"/>
            <w:tcBorders>
              <w:top w:val="single" w:sz="8" w:space="0" w:color="auto"/>
              <w:left w:val="nil"/>
              <w:bottom w:val="single" w:sz="8" w:space="0" w:color="auto"/>
              <w:right w:val="single" w:sz="8" w:space="0" w:color="auto"/>
            </w:tcBorders>
            <w:shd w:val="clear" w:color="auto" w:fill="1F497D" w:themeFill="text2"/>
            <w:vAlign w:val="center"/>
            <w:hideMark/>
          </w:tcPr>
          <w:p w:rsidR="00514096" w:rsidRPr="00542261" w:rsidRDefault="00514096" w:rsidP="00514096">
            <w:pPr>
              <w:jc w:val="center"/>
              <w:rPr>
                <w:rFonts w:cs="Arial"/>
                <w:b/>
                <w:bCs/>
                <w:color w:val="FFFFFF" w:themeColor="background1"/>
                <w:szCs w:val="24"/>
              </w:rPr>
            </w:pPr>
            <w:r w:rsidRPr="00542261">
              <w:rPr>
                <w:rFonts w:cs="Arial"/>
                <w:b/>
                <w:bCs/>
                <w:color w:val="FFFFFF" w:themeColor="background1"/>
                <w:szCs w:val="24"/>
              </w:rPr>
              <w:t>201</w:t>
            </w:r>
            <w:r>
              <w:rPr>
                <w:rFonts w:cs="Arial"/>
                <w:b/>
                <w:bCs/>
                <w:color w:val="FFFFFF" w:themeColor="background1"/>
                <w:szCs w:val="24"/>
              </w:rPr>
              <w:t>5</w:t>
            </w:r>
            <w:r w:rsidRPr="00542261">
              <w:rPr>
                <w:rFonts w:cs="Arial"/>
                <w:b/>
                <w:bCs/>
                <w:color w:val="FFFFFF" w:themeColor="background1"/>
                <w:szCs w:val="24"/>
              </w:rPr>
              <w:t>/1</w:t>
            </w:r>
            <w:r>
              <w:rPr>
                <w:rFonts w:cs="Arial"/>
                <w:b/>
                <w:bCs/>
                <w:color w:val="FFFFFF" w:themeColor="background1"/>
                <w:szCs w:val="24"/>
              </w:rPr>
              <w:t>6</w:t>
            </w:r>
          </w:p>
        </w:tc>
      </w:tr>
      <w:tr w:rsidR="00514096" w:rsidTr="00737793">
        <w:trPr>
          <w:trHeight w:val="300"/>
        </w:trPr>
        <w:tc>
          <w:tcPr>
            <w:tcW w:w="5827" w:type="dxa"/>
            <w:vMerge w:val="restart"/>
            <w:tcBorders>
              <w:top w:val="nil"/>
              <w:left w:val="single" w:sz="8" w:space="0" w:color="auto"/>
              <w:bottom w:val="single" w:sz="8" w:space="0" w:color="000000"/>
              <w:right w:val="single" w:sz="8" w:space="0" w:color="auto"/>
            </w:tcBorders>
            <w:shd w:val="clear" w:color="auto" w:fill="auto"/>
            <w:vAlign w:val="center"/>
            <w:hideMark/>
          </w:tcPr>
          <w:p w:rsidR="00514096" w:rsidRPr="00542261" w:rsidRDefault="00514096" w:rsidP="00737793">
            <w:pPr>
              <w:rPr>
                <w:rFonts w:cs="Arial"/>
                <w:szCs w:val="24"/>
              </w:rPr>
            </w:pPr>
            <w:r w:rsidRPr="00542261">
              <w:rPr>
                <w:rFonts w:cs="Arial"/>
                <w:szCs w:val="24"/>
              </w:rPr>
              <w:t>% of people who agree that their local area is a place where people from different backgrounds and communities live together harmoniously</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514096" w:rsidRPr="00542261" w:rsidRDefault="00514096" w:rsidP="00870792">
            <w:pPr>
              <w:jc w:val="center"/>
              <w:rPr>
                <w:rFonts w:cs="Arial"/>
                <w:b/>
                <w:bCs/>
                <w:color w:val="000000"/>
                <w:szCs w:val="24"/>
              </w:rPr>
            </w:pPr>
            <w:r w:rsidRPr="00542261">
              <w:rPr>
                <w:rFonts w:cs="Arial"/>
                <w:b/>
                <w:bCs/>
                <w:color w:val="000000"/>
                <w:szCs w:val="24"/>
              </w:rPr>
              <w:t>62.0%</w:t>
            </w:r>
          </w:p>
        </w:tc>
        <w:tc>
          <w:tcPr>
            <w:tcW w:w="1154" w:type="dxa"/>
            <w:vMerge w:val="restart"/>
            <w:tcBorders>
              <w:top w:val="nil"/>
              <w:left w:val="single" w:sz="8" w:space="0" w:color="auto"/>
              <w:bottom w:val="single" w:sz="8" w:space="0" w:color="000000"/>
              <w:right w:val="single" w:sz="8" w:space="0" w:color="auto"/>
            </w:tcBorders>
            <w:shd w:val="clear" w:color="auto" w:fill="auto"/>
            <w:vAlign w:val="center"/>
            <w:hideMark/>
          </w:tcPr>
          <w:p w:rsidR="00514096" w:rsidRPr="00542261" w:rsidRDefault="00514096" w:rsidP="00870792">
            <w:pPr>
              <w:jc w:val="center"/>
              <w:rPr>
                <w:rFonts w:cs="Arial"/>
                <w:b/>
                <w:bCs/>
                <w:color w:val="000000"/>
                <w:szCs w:val="24"/>
              </w:rPr>
            </w:pPr>
            <w:r w:rsidRPr="00542261">
              <w:rPr>
                <w:rFonts w:cs="Arial"/>
                <w:b/>
                <w:bCs/>
                <w:color w:val="000000"/>
                <w:szCs w:val="24"/>
              </w:rPr>
              <w:t>63.7%</w:t>
            </w:r>
          </w:p>
        </w:tc>
        <w:tc>
          <w:tcPr>
            <w:tcW w:w="1114" w:type="dxa"/>
            <w:vMerge w:val="restart"/>
            <w:tcBorders>
              <w:top w:val="nil"/>
              <w:left w:val="single" w:sz="8" w:space="0" w:color="auto"/>
              <w:bottom w:val="single" w:sz="8" w:space="0" w:color="000000"/>
              <w:right w:val="single" w:sz="8" w:space="0" w:color="auto"/>
            </w:tcBorders>
            <w:shd w:val="clear" w:color="auto" w:fill="auto"/>
            <w:vAlign w:val="center"/>
            <w:hideMark/>
          </w:tcPr>
          <w:p w:rsidR="00514096" w:rsidRPr="00542261" w:rsidRDefault="00514096" w:rsidP="00737793">
            <w:pPr>
              <w:jc w:val="center"/>
              <w:rPr>
                <w:rFonts w:cs="Arial"/>
                <w:b/>
                <w:bCs/>
                <w:color w:val="000000"/>
                <w:szCs w:val="24"/>
              </w:rPr>
            </w:pPr>
            <w:r>
              <w:rPr>
                <w:rFonts w:cs="Arial"/>
                <w:b/>
                <w:bCs/>
                <w:color w:val="000000"/>
                <w:szCs w:val="24"/>
              </w:rPr>
              <w:t>62.6</w:t>
            </w:r>
            <w:r w:rsidRPr="00542261">
              <w:rPr>
                <w:rFonts w:cs="Arial"/>
                <w:b/>
                <w:bCs/>
                <w:color w:val="000000"/>
                <w:szCs w:val="24"/>
              </w:rPr>
              <w:t>%</w:t>
            </w:r>
          </w:p>
        </w:tc>
      </w:tr>
      <w:tr w:rsidR="00264E75" w:rsidTr="00737793">
        <w:trPr>
          <w:trHeight w:val="300"/>
        </w:trPr>
        <w:tc>
          <w:tcPr>
            <w:tcW w:w="5827" w:type="dxa"/>
            <w:vMerge/>
            <w:tcBorders>
              <w:top w:val="nil"/>
              <w:left w:val="single" w:sz="8" w:space="0" w:color="auto"/>
              <w:bottom w:val="single" w:sz="8" w:space="0" w:color="000000"/>
              <w:right w:val="single" w:sz="8" w:space="0" w:color="auto"/>
            </w:tcBorders>
            <w:vAlign w:val="center"/>
            <w:hideMark/>
          </w:tcPr>
          <w:p w:rsidR="00264E75" w:rsidRDefault="00264E75" w:rsidP="00737793">
            <w:pPr>
              <w:rPr>
                <w:rFonts w:cs="Arial"/>
                <w:color w:val="000000"/>
              </w:rPr>
            </w:pPr>
          </w:p>
        </w:tc>
        <w:tc>
          <w:tcPr>
            <w:tcW w:w="1134" w:type="dxa"/>
            <w:vMerge/>
            <w:tcBorders>
              <w:top w:val="nil"/>
              <w:left w:val="single" w:sz="8" w:space="0" w:color="auto"/>
              <w:bottom w:val="single" w:sz="8" w:space="0" w:color="000000"/>
              <w:right w:val="single" w:sz="8" w:space="0" w:color="auto"/>
            </w:tcBorders>
            <w:vAlign w:val="center"/>
            <w:hideMark/>
          </w:tcPr>
          <w:p w:rsidR="00264E75" w:rsidRDefault="00264E75" w:rsidP="00737793">
            <w:pPr>
              <w:rPr>
                <w:rFonts w:cs="Arial"/>
                <w:b/>
                <w:bCs/>
                <w:color w:val="000000"/>
              </w:rPr>
            </w:pPr>
          </w:p>
        </w:tc>
        <w:tc>
          <w:tcPr>
            <w:tcW w:w="1154" w:type="dxa"/>
            <w:vMerge/>
            <w:tcBorders>
              <w:top w:val="nil"/>
              <w:left w:val="single" w:sz="8" w:space="0" w:color="auto"/>
              <w:bottom w:val="single" w:sz="8" w:space="0" w:color="000000"/>
              <w:right w:val="single" w:sz="8" w:space="0" w:color="auto"/>
            </w:tcBorders>
            <w:vAlign w:val="center"/>
            <w:hideMark/>
          </w:tcPr>
          <w:p w:rsidR="00264E75" w:rsidRDefault="00264E75" w:rsidP="00737793">
            <w:pPr>
              <w:rPr>
                <w:rFonts w:cs="Arial"/>
                <w:b/>
                <w:bCs/>
                <w:color w:val="000000"/>
              </w:rPr>
            </w:pPr>
          </w:p>
        </w:tc>
        <w:tc>
          <w:tcPr>
            <w:tcW w:w="1114" w:type="dxa"/>
            <w:vMerge/>
            <w:tcBorders>
              <w:top w:val="nil"/>
              <w:left w:val="single" w:sz="8" w:space="0" w:color="auto"/>
              <w:bottom w:val="single" w:sz="8" w:space="0" w:color="000000"/>
              <w:right w:val="single" w:sz="8" w:space="0" w:color="auto"/>
            </w:tcBorders>
            <w:vAlign w:val="center"/>
            <w:hideMark/>
          </w:tcPr>
          <w:p w:rsidR="00264E75" w:rsidRDefault="00264E75" w:rsidP="00737793">
            <w:pPr>
              <w:rPr>
                <w:rFonts w:cs="Arial"/>
                <w:b/>
                <w:bCs/>
                <w:color w:val="000000"/>
              </w:rPr>
            </w:pPr>
          </w:p>
        </w:tc>
      </w:tr>
      <w:tr w:rsidR="00264E75" w:rsidTr="00737793">
        <w:trPr>
          <w:trHeight w:val="315"/>
        </w:trPr>
        <w:tc>
          <w:tcPr>
            <w:tcW w:w="5827" w:type="dxa"/>
            <w:vMerge/>
            <w:tcBorders>
              <w:top w:val="nil"/>
              <w:left w:val="single" w:sz="8" w:space="0" w:color="auto"/>
              <w:bottom w:val="single" w:sz="8" w:space="0" w:color="000000"/>
              <w:right w:val="single" w:sz="8" w:space="0" w:color="auto"/>
            </w:tcBorders>
            <w:vAlign w:val="center"/>
            <w:hideMark/>
          </w:tcPr>
          <w:p w:rsidR="00264E75" w:rsidRDefault="00264E75" w:rsidP="00737793">
            <w:pPr>
              <w:rPr>
                <w:rFonts w:cs="Arial"/>
                <w:color w:val="000000"/>
              </w:rPr>
            </w:pPr>
          </w:p>
        </w:tc>
        <w:tc>
          <w:tcPr>
            <w:tcW w:w="1134" w:type="dxa"/>
            <w:vMerge/>
            <w:tcBorders>
              <w:top w:val="nil"/>
              <w:left w:val="single" w:sz="8" w:space="0" w:color="auto"/>
              <w:bottom w:val="single" w:sz="8" w:space="0" w:color="000000"/>
              <w:right w:val="single" w:sz="8" w:space="0" w:color="auto"/>
            </w:tcBorders>
            <w:vAlign w:val="center"/>
            <w:hideMark/>
          </w:tcPr>
          <w:p w:rsidR="00264E75" w:rsidRDefault="00264E75" w:rsidP="00737793">
            <w:pPr>
              <w:rPr>
                <w:rFonts w:cs="Arial"/>
                <w:b/>
                <w:bCs/>
                <w:color w:val="000000"/>
              </w:rPr>
            </w:pPr>
          </w:p>
        </w:tc>
        <w:tc>
          <w:tcPr>
            <w:tcW w:w="1154" w:type="dxa"/>
            <w:vMerge/>
            <w:tcBorders>
              <w:top w:val="nil"/>
              <w:left w:val="single" w:sz="8" w:space="0" w:color="auto"/>
              <w:bottom w:val="single" w:sz="8" w:space="0" w:color="000000"/>
              <w:right w:val="single" w:sz="8" w:space="0" w:color="auto"/>
            </w:tcBorders>
            <w:vAlign w:val="center"/>
            <w:hideMark/>
          </w:tcPr>
          <w:p w:rsidR="00264E75" w:rsidRDefault="00264E75" w:rsidP="00737793">
            <w:pPr>
              <w:rPr>
                <w:rFonts w:cs="Arial"/>
                <w:b/>
                <w:bCs/>
                <w:color w:val="000000"/>
              </w:rPr>
            </w:pPr>
          </w:p>
        </w:tc>
        <w:tc>
          <w:tcPr>
            <w:tcW w:w="1114" w:type="dxa"/>
            <w:vMerge/>
            <w:tcBorders>
              <w:top w:val="nil"/>
              <w:left w:val="single" w:sz="8" w:space="0" w:color="auto"/>
              <w:bottom w:val="single" w:sz="8" w:space="0" w:color="000000"/>
              <w:right w:val="single" w:sz="8" w:space="0" w:color="auto"/>
            </w:tcBorders>
            <w:vAlign w:val="center"/>
            <w:hideMark/>
          </w:tcPr>
          <w:p w:rsidR="00264E75" w:rsidRDefault="00264E75" w:rsidP="00737793">
            <w:pPr>
              <w:rPr>
                <w:rFonts w:cs="Arial"/>
                <w:b/>
                <w:bCs/>
                <w:color w:val="000000"/>
              </w:rPr>
            </w:pPr>
          </w:p>
        </w:tc>
      </w:tr>
      <w:tr w:rsidR="00264E75" w:rsidTr="00737793">
        <w:trPr>
          <w:trHeight w:val="315"/>
        </w:trPr>
        <w:tc>
          <w:tcPr>
            <w:tcW w:w="922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64E75" w:rsidRPr="00542261" w:rsidRDefault="00264E75" w:rsidP="00737793">
            <w:pPr>
              <w:rPr>
                <w:rFonts w:cs="Arial"/>
                <w:i/>
                <w:iCs/>
                <w:color w:val="000000"/>
                <w:sz w:val="18"/>
                <w:szCs w:val="18"/>
              </w:rPr>
            </w:pPr>
            <w:r w:rsidRPr="00542261">
              <w:rPr>
                <w:rFonts w:cs="Arial"/>
                <w:i/>
                <w:iCs/>
                <w:color w:val="000000"/>
                <w:sz w:val="18"/>
                <w:szCs w:val="18"/>
              </w:rPr>
              <w:t>Source:</w:t>
            </w:r>
            <w:r w:rsidRPr="00542261">
              <w:rPr>
                <w:color w:val="000000"/>
                <w:sz w:val="18"/>
                <w:szCs w:val="18"/>
              </w:rPr>
              <w:t xml:space="preserve"> </w:t>
            </w:r>
            <w:r w:rsidRPr="00542261">
              <w:rPr>
                <w:rFonts w:cs="Arial"/>
                <w:i/>
                <w:iCs/>
                <w:color w:val="000000"/>
                <w:sz w:val="18"/>
                <w:szCs w:val="18"/>
              </w:rPr>
              <w:t>West Yorkshire Police / Office of the Crime Commissioner’s Perception Survey</w:t>
            </w:r>
          </w:p>
        </w:tc>
      </w:tr>
    </w:tbl>
    <w:p w:rsidR="00264E75" w:rsidRDefault="00264E75" w:rsidP="00264E75">
      <w:pPr>
        <w:autoSpaceDE w:val="0"/>
        <w:autoSpaceDN w:val="0"/>
        <w:adjustRightInd w:val="0"/>
        <w:rPr>
          <w:rStyle w:val="CommentReference"/>
        </w:rPr>
      </w:pPr>
    </w:p>
    <w:sectPr w:rsidR="00264E75" w:rsidSect="00856B71">
      <w:type w:val="continuous"/>
      <w:pgSz w:w="11906" w:h="16838"/>
      <w:pgMar w:top="-582" w:right="991" w:bottom="851" w:left="851" w:header="708" w:footer="4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E63" w:rsidRDefault="00021E63" w:rsidP="006863D0">
      <w:r>
        <w:separator/>
      </w:r>
    </w:p>
  </w:endnote>
  <w:endnote w:type="continuationSeparator" w:id="0">
    <w:p w:rsidR="00021E63" w:rsidRDefault="00021E63" w:rsidP="0068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508945"/>
      <w:docPartObj>
        <w:docPartGallery w:val="Page Numbers (Bottom of Page)"/>
        <w:docPartUnique/>
      </w:docPartObj>
    </w:sdtPr>
    <w:sdtEndPr/>
    <w:sdtContent>
      <w:sdt>
        <w:sdtPr>
          <w:id w:val="-1768309132"/>
          <w:docPartObj>
            <w:docPartGallery w:val="Page Numbers (Top of Page)"/>
            <w:docPartUnique/>
          </w:docPartObj>
        </w:sdtPr>
        <w:sdtEndPr/>
        <w:sdtContent>
          <w:p w:rsidR="00021E63" w:rsidRDefault="00021E6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9190B">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9190B">
              <w:rPr>
                <w:b/>
                <w:bCs/>
                <w:noProof/>
              </w:rPr>
              <w:t>5</w:t>
            </w:r>
            <w:r>
              <w:rPr>
                <w:b/>
                <w:bCs/>
                <w:szCs w:val="24"/>
              </w:rPr>
              <w:fldChar w:fldCharType="end"/>
            </w:r>
          </w:p>
        </w:sdtContent>
      </w:sdt>
    </w:sdtContent>
  </w:sdt>
  <w:p w:rsidR="00021E63" w:rsidRDefault="00021E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523276"/>
      <w:docPartObj>
        <w:docPartGallery w:val="Page Numbers (Bottom of Page)"/>
        <w:docPartUnique/>
      </w:docPartObj>
    </w:sdtPr>
    <w:sdtEndPr/>
    <w:sdtContent>
      <w:sdt>
        <w:sdtPr>
          <w:id w:val="-1669238322"/>
          <w:docPartObj>
            <w:docPartGallery w:val="Page Numbers (Top of Page)"/>
            <w:docPartUnique/>
          </w:docPartObj>
        </w:sdtPr>
        <w:sdtEndPr/>
        <w:sdtContent>
          <w:p w:rsidR="00021E63" w:rsidRDefault="00021E6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32453">
              <w:rPr>
                <w:b/>
                <w:bCs/>
                <w:noProof/>
              </w:rPr>
              <w:t>5</w:t>
            </w:r>
            <w:r>
              <w:rPr>
                <w:b/>
                <w:bCs/>
                <w:szCs w:val="24"/>
              </w:rPr>
              <w:fldChar w:fldCharType="end"/>
            </w:r>
          </w:p>
        </w:sdtContent>
      </w:sdt>
    </w:sdtContent>
  </w:sdt>
  <w:p w:rsidR="00021E63" w:rsidRPr="0014797B" w:rsidRDefault="00021E63" w:rsidP="00147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E63" w:rsidRDefault="00021E63" w:rsidP="006863D0">
      <w:r>
        <w:separator/>
      </w:r>
    </w:p>
  </w:footnote>
  <w:footnote w:type="continuationSeparator" w:id="0">
    <w:p w:rsidR="00021E63" w:rsidRDefault="00021E63" w:rsidP="006863D0">
      <w:r>
        <w:continuationSeparator/>
      </w:r>
    </w:p>
  </w:footnote>
  <w:footnote w:id="1">
    <w:p w:rsidR="0091766E" w:rsidRDefault="0091766E" w:rsidP="0091766E">
      <w:pPr>
        <w:pStyle w:val="FootnoteText"/>
      </w:pPr>
      <w:r>
        <w:rPr>
          <w:rStyle w:val="FootnoteReference"/>
        </w:rPr>
        <w:footnoteRef/>
      </w:r>
      <w:r>
        <w:t xml:space="preserve"> </w:t>
      </w:r>
      <w:r w:rsidRPr="00E2174F">
        <w:rPr>
          <w:rFonts w:ascii="Arial" w:hAnsi="Arial" w:cs="Arial"/>
        </w:rPr>
        <w:t>Source Public Health England: National Drug Treatment Monitoring System (NDTMS)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63" w:rsidRDefault="00021E63">
    <w:pPr>
      <w:pStyle w:val="Header"/>
    </w:pPr>
  </w:p>
  <w:p w:rsidR="00021E63" w:rsidRDefault="00021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18EF"/>
    <w:multiLevelType w:val="hybridMultilevel"/>
    <w:tmpl w:val="D4DA4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4E679BD"/>
    <w:multiLevelType w:val="hybridMultilevel"/>
    <w:tmpl w:val="2E18A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B14F8E"/>
    <w:multiLevelType w:val="hybridMultilevel"/>
    <w:tmpl w:val="006EC464"/>
    <w:lvl w:ilvl="0" w:tplc="DF2C5E7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D46DFD"/>
    <w:multiLevelType w:val="hybridMultilevel"/>
    <w:tmpl w:val="9880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D0"/>
    <w:rsid w:val="00021E63"/>
    <w:rsid w:val="00056EE9"/>
    <w:rsid w:val="00080009"/>
    <w:rsid w:val="000C1BE6"/>
    <w:rsid w:val="000C3664"/>
    <w:rsid w:val="001006F3"/>
    <w:rsid w:val="001151EA"/>
    <w:rsid w:val="001209E8"/>
    <w:rsid w:val="00131F0B"/>
    <w:rsid w:val="0014797B"/>
    <w:rsid w:val="0015526A"/>
    <w:rsid w:val="0019190B"/>
    <w:rsid w:val="00224FDC"/>
    <w:rsid w:val="00255C22"/>
    <w:rsid w:val="00264E75"/>
    <w:rsid w:val="00277DD3"/>
    <w:rsid w:val="00282788"/>
    <w:rsid w:val="0028448E"/>
    <w:rsid w:val="002A4EEA"/>
    <w:rsid w:val="002F36C6"/>
    <w:rsid w:val="0031679B"/>
    <w:rsid w:val="00330D01"/>
    <w:rsid w:val="00332453"/>
    <w:rsid w:val="003447CC"/>
    <w:rsid w:val="003513BE"/>
    <w:rsid w:val="0035190D"/>
    <w:rsid w:val="00383B71"/>
    <w:rsid w:val="003A637D"/>
    <w:rsid w:val="003E51B9"/>
    <w:rsid w:val="003F6B7C"/>
    <w:rsid w:val="00450907"/>
    <w:rsid w:val="00484A05"/>
    <w:rsid w:val="00496852"/>
    <w:rsid w:val="00496CEE"/>
    <w:rsid w:val="004C5CCA"/>
    <w:rsid w:val="004E41D1"/>
    <w:rsid w:val="004F1573"/>
    <w:rsid w:val="00514096"/>
    <w:rsid w:val="00542261"/>
    <w:rsid w:val="005435AD"/>
    <w:rsid w:val="00544F70"/>
    <w:rsid w:val="005664A4"/>
    <w:rsid w:val="00566F9C"/>
    <w:rsid w:val="00582A0D"/>
    <w:rsid w:val="005B3401"/>
    <w:rsid w:val="005E2227"/>
    <w:rsid w:val="005E5776"/>
    <w:rsid w:val="005E7363"/>
    <w:rsid w:val="00613669"/>
    <w:rsid w:val="006863D0"/>
    <w:rsid w:val="00686EDC"/>
    <w:rsid w:val="006F2873"/>
    <w:rsid w:val="00701863"/>
    <w:rsid w:val="00714616"/>
    <w:rsid w:val="00737793"/>
    <w:rsid w:val="00771634"/>
    <w:rsid w:val="00777382"/>
    <w:rsid w:val="00781C30"/>
    <w:rsid w:val="007A1DD5"/>
    <w:rsid w:val="007B407B"/>
    <w:rsid w:val="007C2FD0"/>
    <w:rsid w:val="007C391E"/>
    <w:rsid w:val="008015ED"/>
    <w:rsid w:val="00856B71"/>
    <w:rsid w:val="00864EBD"/>
    <w:rsid w:val="00882BD6"/>
    <w:rsid w:val="008B1D5F"/>
    <w:rsid w:val="008C5F3E"/>
    <w:rsid w:val="00905BCA"/>
    <w:rsid w:val="0091766E"/>
    <w:rsid w:val="00920C33"/>
    <w:rsid w:val="00960C28"/>
    <w:rsid w:val="00965063"/>
    <w:rsid w:val="009D73B1"/>
    <w:rsid w:val="009D7AB5"/>
    <w:rsid w:val="00A15A07"/>
    <w:rsid w:val="00A84577"/>
    <w:rsid w:val="00A86754"/>
    <w:rsid w:val="00A965EC"/>
    <w:rsid w:val="00AE3812"/>
    <w:rsid w:val="00B14426"/>
    <w:rsid w:val="00B16E9A"/>
    <w:rsid w:val="00B26733"/>
    <w:rsid w:val="00B727EF"/>
    <w:rsid w:val="00B90C74"/>
    <w:rsid w:val="00BA4041"/>
    <w:rsid w:val="00BD073A"/>
    <w:rsid w:val="00BE4475"/>
    <w:rsid w:val="00BE744C"/>
    <w:rsid w:val="00C2499C"/>
    <w:rsid w:val="00CA4519"/>
    <w:rsid w:val="00CA49C9"/>
    <w:rsid w:val="00CA54F8"/>
    <w:rsid w:val="00CA6F39"/>
    <w:rsid w:val="00CB1DC1"/>
    <w:rsid w:val="00CB266C"/>
    <w:rsid w:val="00CF6C21"/>
    <w:rsid w:val="00CF75AD"/>
    <w:rsid w:val="00D6213E"/>
    <w:rsid w:val="00D8759C"/>
    <w:rsid w:val="00D97E43"/>
    <w:rsid w:val="00DF2CD4"/>
    <w:rsid w:val="00DF3232"/>
    <w:rsid w:val="00E0230B"/>
    <w:rsid w:val="00E1226B"/>
    <w:rsid w:val="00E20524"/>
    <w:rsid w:val="00E22231"/>
    <w:rsid w:val="00E24C97"/>
    <w:rsid w:val="00E96835"/>
    <w:rsid w:val="00ED0484"/>
    <w:rsid w:val="00ED1913"/>
    <w:rsid w:val="00F02BAD"/>
    <w:rsid w:val="00F20A8C"/>
    <w:rsid w:val="00F2216A"/>
    <w:rsid w:val="00F23906"/>
    <w:rsid w:val="00F6491F"/>
    <w:rsid w:val="00F86A02"/>
    <w:rsid w:val="00F87043"/>
    <w:rsid w:val="00F95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0B"/>
    <w:rPr>
      <w:rFonts w:ascii="Arial" w:hAnsi="Arial"/>
      <w:sz w:val="24"/>
    </w:rPr>
  </w:style>
  <w:style w:type="paragraph" w:styleId="Heading1">
    <w:name w:val="heading 1"/>
    <w:basedOn w:val="Normal"/>
    <w:next w:val="Normal"/>
    <w:link w:val="Heading1Char"/>
    <w:uiPriority w:val="9"/>
    <w:qFormat/>
    <w:rsid w:val="00E96835"/>
    <w:pPr>
      <w:keepNext/>
      <w:keepLines/>
      <w:outlineLvl w:val="0"/>
    </w:pPr>
    <w:rPr>
      <w:rFonts w:eastAsiaTheme="majorEastAsia"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E1226B"/>
    <w:pPr>
      <w:keepNext/>
      <w:keepLines/>
      <w:spacing w:before="12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E1226B"/>
    <w:pPr>
      <w:keepNext/>
      <w:keepLines/>
      <w:spacing w:before="20"/>
      <w:outlineLvl w:val="2"/>
    </w:pPr>
    <w:rPr>
      <w:rFonts w:asciiTheme="majorHAnsi" w:eastAsiaTheme="majorEastAsia" w:hAnsiTheme="majorHAnsi" w:cstheme="majorBidi"/>
      <w:bCs/>
      <w:color w:val="1F497D" w:themeColor="text2"/>
      <w:spacing w:val="14"/>
    </w:rPr>
  </w:style>
  <w:style w:type="paragraph" w:styleId="Heading4">
    <w:name w:val="heading 4"/>
    <w:basedOn w:val="Normal"/>
    <w:next w:val="Normal"/>
    <w:link w:val="Heading4Char"/>
    <w:uiPriority w:val="9"/>
    <w:semiHidden/>
    <w:unhideWhenUsed/>
    <w:qFormat/>
    <w:rsid w:val="00E1226B"/>
    <w:pPr>
      <w:keepNext/>
      <w:keepLines/>
      <w:spacing w:before="200"/>
      <w:outlineLvl w:val="3"/>
    </w:pPr>
    <w:rPr>
      <w:rFonts w:eastAsiaTheme="majorEastAsia" w:cstheme="majorBidi"/>
      <w:b/>
      <w:bCs/>
      <w:i/>
      <w:iCs/>
      <w:color w:val="000000"/>
    </w:rPr>
  </w:style>
  <w:style w:type="paragraph" w:styleId="Heading5">
    <w:name w:val="heading 5"/>
    <w:basedOn w:val="Normal"/>
    <w:next w:val="Normal"/>
    <w:link w:val="Heading5Char"/>
    <w:uiPriority w:val="9"/>
    <w:semiHidden/>
    <w:unhideWhenUsed/>
    <w:qFormat/>
    <w:rsid w:val="00E1226B"/>
    <w:pPr>
      <w:keepNext/>
      <w:keepLines/>
      <w:spacing w:before="20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E1226B"/>
    <w:pPr>
      <w:keepNext/>
      <w:keepLines/>
      <w:spacing w:before="20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E1226B"/>
    <w:pPr>
      <w:keepNext/>
      <w:keepLines/>
      <w:spacing w:before="20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E1226B"/>
    <w:pPr>
      <w:keepNext/>
      <w:keepLines/>
      <w:spacing w:before="20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1226B"/>
    <w:pPr>
      <w:keepNext/>
      <w:keepLines/>
      <w:spacing w:before="20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63D0"/>
    <w:pPr>
      <w:tabs>
        <w:tab w:val="center" w:pos="4513"/>
        <w:tab w:val="right" w:pos="9026"/>
      </w:tabs>
    </w:pPr>
  </w:style>
  <w:style w:type="character" w:customStyle="1" w:styleId="HeaderChar">
    <w:name w:val="Header Char"/>
    <w:basedOn w:val="DefaultParagraphFont"/>
    <w:link w:val="Header"/>
    <w:uiPriority w:val="99"/>
    <w:rsid w:val="006863D0"/>
  </w:style>
  <w:style w:type="paragraph" w:styleId="Footer">
    <w:name w:val="footer"/>
    <w:basedOn w:val="Normal"/>
    <w:link w:val="FooterChar"/>
    <w:uiPriority w:val="99"/>
    <w:unhideWhenUsed/>
    <w:rsid w:val="006863D0"/>
    <w:pPr>
      <w:tabs>
        <w:tab w:val="center" w:pos="4513"/>
        <w:tab w:val="right" w:pos="9026"/>
      </w:tabs>
    </w:pPr>
  </w:style>
  <w:style w:type="character" w:customStyle="1" w:styleId="FooterChar">
    <w:name w:val="Footer Char"/>
    <w:basedOn w:val="DefaultParagraphFont"/>
    <w:link w:val="Footer"/>
    <w:uiPriority w:val="99"/>
    <w:rsid w:val="006863D0"/>
  </w:style>
  <w:style w:type="paragraph" w:styleId="BalloonText">
    <w:name w:val="Balloon Text"/>
    <w:basedOn w:val="Normal"/>
    <w:link w:val="BalloonTextChar"/>
    <w:uiPriority w:val="99"/>
    <w:semiHidden/>
    <w:unhideWhenUsed/>
    <w:rsid w:val="006863D0"/>
    <w:rPr>
      <w:rFonts w:ascii="Tahoma" w:hAnsi="Tahoma" w:cs="Tahoma"/>
      <w:sz w:val="16"/>
      <w:szCs w:val="16"/>
    </w:rPr>
  </w:style>
  <w:style w:type="character" w:customStyle="1" w:styleId="BalloonTextChar">
    <w:name w:val="Balloon Text Char"/>
    <w:basedOn w:val="DefaultParagraphFont"/>
    <w:link w:val="BalloonText"/>
    <w:uiPriority w:val="99"/>
    <w:semiHidden/>
    <w:rsid w:val="006863D0"/>
    <w:rPr>
      <w:rFonts w:ascii="Tahoma" w:hAnsi="Tahoma" w:cs="Tahoma"/>
      <w:sz w:val="16"/>
      <w:szCs w:val="16"/>
    </w:rPr>
  </w:style>
  <w:style w:type="character" w:styleId="Hyperlink">
    <w:name w:val="Hyperlink"/>
    <w:basedOn w:val="DefaultParagraphFont"/>
    <w:uiPriority w:val="99"/>
    <w:unhideWhenUsed/>
    <w:rsid w:val="003447CC"/>
    <w:rPr>
      <w:color w:val="0000FF" w:themeColor="hyperlink"/>
      <w:u w:val="single"/>
    </w:rPr>
  </w:style>
  <w:style w:type="paragraph" w:styleId="ListParagraph">
    <w:name w:val="List Paragraph"/>
    <w:basedOn w:val="Normal"/>
    <w:uiPriority w:val="34"/>
    <w:qFormat/>
    <w:rsid w:val="00E1226B"/>
    <w:pPr>
      <w:ind w:left="720" w:hanging="288"/>
      <w:contextualSpacing/>
    </w:pPr>
    <w:rPr>
      <w:color w:val="1F497D" w:themeColor="text2"/>
    </w:rPr>
  </w:style>
  <w:style w:type="paragraph" w:styleId="Title">
    <w:name w:val="Title"/>
    <w:basedOn w:val="Normal"/>
    <w:next w:val="Normal"/>
    <w:link w:val="TitleChar"/>
    <w:uiPriority w:val="10"/>
    <w:qFormat/>
    <w:rsid w:val="00E96835"/>
    <w:pPr>
      <w:spacing w:after="120"/>
      <w:contextualSpacing/>
    </w:pPr>
    <w:rPr>
      <w:rFonts w:eastAsiaTheme="majorEastAsia" w:cstheme="majorBidi"/>
      <w:color w:val="1F497D" w:themeColor="text2"/>
      <w:spacing w:val="30"/>
      <w:kern w:val="28"/>
      <w:sz w:val="96"/>
      <w:szCs w:val="52"/>
    </w:rPr>
  </w:style>
  <w:style w:type="character" w:customStyle="1" w:styleId="TitleChar">
    <w:name w:val="Title Char"/>
    <w:basedOn w:val="DefaultParagraphFont"/>
    <w:link w:val="Title"/>
    <w:uiPriority w:val="10"/>
    <w:rsid w:val="00E96835"/>
    <w:rPr>
      <w:rFonts w:ascii="Arial" w:eastAsiaTheme="majorEastAsia" w:hAnsi="Arial" w:cstheme="majorBidi"/>
      <w:color w:val="1F497D" w:themeColor="text2"/>
      <w:spacing w:val="30"/>
      <w:kern w:val="28"/>
      <w:sz w:val="96"/>
      <w:szCs w:val="52"/>
    </w:rPr>
  </w:style>
  <w:style w:type="character" w:customStyle="1" w:styleId="Heading1Char">
    <w:name w:val="Heading 1 Char"/>
    <w:basedOn w:val="DefaultParagraphFont"/>
    <w:link w:val="Heading1"/>
    <w:uiPriority w:val="9"/>
    <w:rsid w:val="00E96835"/>
    <w:rPr>
      <w:rFonts w:ascii="Arial" w:eastAsiaTheme="majorEastAsia" w:hAnsi="Arial"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E1226B"/>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E1226B"/>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E1226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1226B"/>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E1226B"/>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E1226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1226B"/>
    <w:rPr>
      <w:rFonts w:asciiTheme="majorHAnsi" w:eastAsiaTheme="majorEastAsia" w:hAnsiTheme="majorHAnsi" w:cstheme="majorBidi"/>
      <w:i/>
      <w:iCs/>
      <w:color w:val="000000"/>
      <w:sz w:val="20"/>
      <w:szCs w:val="20"/>
    </w:rPr>
  </w:style>
  <w:style w:type="paragraph" w:styleId="Caption">
    <w:name w:val="caption"/>
    <w:basedOn w:val="Normal"/>
    <w:next w:val="Normal"/>
    <w:uiPriority w:val="35"/>
    <w:unhideWhenUsed/>
    <w:qFormat/>
    <w:rsid w:val="00B14426"/>
    <w:rPr>
      <w:rFonts w:eastAsiaTheme="minorEastAsia"/>
      <w:bCs/>
      <w:spacing w:val="6"/>
      <w:sz w:val="22"/>
      <w:szCs w:val="18"/>
      <w:lang w:bidi="hi-IN"/>
    </w:rPr>
  </w:style>
  <w:style w:type="paragraph" w:styleId="Subtitle">
    <w:name w:val="Subtitle"/>
    <w:basedOn w:val="Normal"/>
    <w:next w:val="Normal"/>
    <w:link w:val="SubtitleChar"/>
    <w:uiPriority w:val="11"/>
    <w:qFormat/>
    <w:rsid w:val="00E1226B"/>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E1226B"/>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E1226B"/>
    <w:rPr>
      <w:b w:val="0"/>
      <w:bCs/>
      <w:i/>
      <w:color w:val="1F497D" w:themeColor="text2"/>
    </w:rPr>
  </w:style>
  <w:style w:type="character" w:styleId="Emphasis">
    <w:name w:val="Emphasis"/>
    <w:basedOn w:val="DefaultParagraphFont"/>
    <w:uiPriority w:val="20"/>
    <w:qFormat/>
    <w:rsid w:val="00E1226B"/>
    <w:rPr>
      <w:b/>
      <w:i/>
      <w:iCs/>
    </w:rPr>
  </w:style>
  <w:style w:type="paragraph" w:styleId="NoSpacing">
    <w:name w:val="No Spacing"/>
    <w:link w:val="NoSpacingChar"/>
    <w:uiPriority w:val="1"/>
    <w:qFormat/>
    <w:rsid w:val="00E1226B"/>
  </w:style>
  <w:style w:type="character" w:customStyle="1" w:styleId="NoSpacingChar">
    <w:name w:val="No Spacing Char"/>
    <w:basedOn w:val="DefaultParagraphFont"/>
    <w:link w:val="NoSpacing"/>
    <w:uiPriority w:val="1"/>
    <w:rsid w:val="00E1226B"/>
  </w:style>
  <w:style w:type="paragraph" w:styleId="Quote">
    <w:name w:val="Quote"/>
    <w:basedOn w:val="Normal"/>
    <w:next w:val="Normal"/>
    <w:link w:val="QuoteChar"/>
    <w:uiPriority w:val="29"/>
    <w:qFormat/>
    <w:rsid w:val="00E1226B"/>
    <w:pPr>
      <w:spacing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E1226B"/>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E1226B"/>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E1226B"/>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E1226B"/>
    <w:rPr>
      <w:i/>
      <w:iCs/>
      <w:color w:val="000000"/>
    </w:rPr>
  </w:style>
  <w:style w:type="character" w:styleId="IntenseEmphasis">
    <w:name w:val="Intense Emphasis"/>
    <w:basedOn w:val="DefaultParagraphFont"/>
    <w:uiPriority w:val="21"/>
    <w:qFormat/>
    <w:rsid w:val="00E1226B"/>
    <w:rPr>
      <w:b/>
      <w:bCs/>
      <w:i/>
      <w:iCs/>
      <w:color w:val="4F81BD" w:themeColor="accent1"/>
    </w:rPr>
  </w:style>
  <w:style w:type="character" w:styleId="SubtleReference">
    <w:name w:val="Subtle Reference"/>
    <w:basedOn w:val="DefaultParagraphFont"/>
    <w:uiPriority w:val="31"/>
    <w:qFormat/>
    <w:rsid w:val="00E1226B"/>
    <w:rPr>
      <w:smallCaps/>
      <w:color w:val="000000"/>
      <w:u w:val="single"/>
    </w:rPr>
  </w:style>
  <w:style w:type="character" w:styleId="IntenseReference">
    <w:name w:val="Intense Reference"/>
    <w:basedOn w:val="DefaultParagraphFont"/>
    <w:uiPriority w:val="32"/>
    <w:qFormat/>
    <w:rsid w:val="00E1226B"/>
    <w:rPr>
      <w:b w:val="0"/>
      <w:bCs/>
      <w:smallCaps/>
      <w:color w:val="4F81BD" w:themeColor="accent1"/>
      <w:spacing w:val="5"/>
      <w:u w:val="single"/>
    </w:rPr>
  </w:style>
  <w:style w:type="character" w:styleId="BookTitle">
    <w:name w:val="Book Title"/>
    <w:basedOn w:val="DefaultParagraphFont"/>
    <w:uiPriority w:val="33"/>
    <w:qFormat/>
    <w:rsid w:val="00E1226B"/>
    <w:rPr>
      <w:b/>
      <w:bCs/>
      <w:caps/>
      <w:smallCaps w:val="0"/>
      <w:color w:val="1F497D" w:themeColor="text2"/>
      <w:spacing w:val="10"/>
    </w:rPr>
  </w:style>
  <w:style w:type="paragraph" w:styleId="TOCHeading">
    <w:name w:val="TOC Heading"/>
    <w:basedOn w:val="Heading1"/>
    <w:next w:val="Normal"/>
    <w:uiPriority w:val="39"/>
    <w:semiHidden/>
    <w:unhideWhenUsed/>
    <w:qFormat/>
    <w:rsid w:val="00E1226B"/>
    <w:pPr>
      <w:spacing w:before="480" w:line="264" w:lineRule="auto"/>
      <w:outlineLvl w:val="9"/>
    </w:pPr>
    <w:rPr>
      <w:b/>
    </w:rPr>
  </w:style>
  <w:style w:type="character" w:customStyle="1" w:styleId="charchar">
    <w:name w:val="charchar"/>
    <w:basedOn w:val="DefaultParagraphFont"/>
    <w:uiPriority w:val="99"/>
    <w:rsid w:val="00777382"/>
    <w:rPr>
      <w:rFonts w:ascii="Arial" w:hAnsi="Arial" w:cs="Arial"/>
    </w:rPr>
  </w:style>
  <w:style w:type="paragraph" w:styleId="NormalWeb">
    <w:name w:val="Normal (Web)"/>
    <w:basedOn w:val="Normal"/>
    <w:uiPriority w:val="99"/>
    <w:rsid w:val="00777382"/>
    <w:pPr>
      <w:spacing w:before="100" w:beforeAutospacing="1" w:after="100" w:afterAutospacing="1"/>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rsid w:val="00264E75"/>
    <w:rPr>
      <w:rFonts w:cs="Times New Roman"/>
      <w:sz w:val="16"/>
      <w:szCs w:val="16"/>
    </w:rPr>
  </w:style>
  <w:style w:type="paragraph" w:styleId="BodyText">
    <w:name w:val="Body Text"/>
    <w:basedOn w:val="Normal"/>
    <w:link w:val="BodyTextChar"/>
    <w:uiPriority w:val="99"/>
    <w:rsid w:val="00264E75"/>
    <w:pPr>
      <w:spacing w:after="120"/>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uiPriority w:val="99"/>
    <w:rsid w:val="00264E75"/>
    <w:rPr>
      <w:rFonts w:ascii="Times New Roman" w:eastAsia="Times New Roman" w:hAnsi="Times New Roman" w:cs="Times New Roman"/>
      <w:sz w:val="24"/>
      <w:szCs w:val="20"/>
      <w:lang w:eastAsia="en-GB"/>
    </w:rPr>
  </w:style>
  <w:style w:type="paragraph" w:styleId="FootnoteText">
    <w:name w:val="footnote text"/>
    <w:basedOn w:val="Normal"/>
    <w:link w:val="FootnoteTextChar"/>
    <w:uiPriority w:val="99"/>
    <w:semiHidden/>
    <w:rsid w:val="00264E75"/>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264E7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264E75"/>
    <w:rPr>
      <w:rFonts w:cs="Times New Roman"/>
      <w:vertAlign w:val="superscript"/>
    </w:rPr>
  </w:style>
  <w:style w:type="character" w:customStyle="1" w:styleId="apple-converted-space">
    <w:name w:val="apple-converted-space"/>
    <w:basedOn w:val="DefaultParagraphFont"/>
    <w:rsid w:val="00A965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0B"/>
    <w:rPr>
      <w:rFonts w:ascii="Arial" w:hAnsi="Arial"/>
      <w:sz w:val="24"/>
    </w:rPr>
  </w:style>
  <w:style w:type="paragraph" w:styleId="Heading1">
    <w:name w:val="heading 1"/>
    <w:basedOn w:val="Normal"/>
    <w:next w:val="Normal"/>
    <w:link w:val="Heading1Char"/>
    <w:uiPriority w:val="9"/>
    <w:qFormat/>
    <w:rsid w:val="00E96835"/>
    <w:pPr>
      <w:keepNext/>
      <w:keepLines/>
      <w:outlineLvl w:val="0"/>
    </w:pPr>
    <w:rPr>
      <w:rFonts w:eastAsiaTheme="majorEastAsia"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E1226B"/>
    <w:pPr>
      <w:keepNext/>
      <w:keepLines/>
      <w:spacing w:before="12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E1226B"/>
    <w:pPr>
      <w:keepNext/>
      <w:keepLines/>
      <w:spacing w:before="20"/>
      <w:outlineLvl w:val="2"/>
    </w:pPr>
    <w:rPr>
      <w:rFonts w:asciiTheme="majorHAnsi" w:eastAsiaTheme="majorEastAsia" w:hAnsiTheme="majorHAnsi" w:cstheme="majorBidi"/>
      <w:bCs/>
      <w:color w:val="1F497D" w:themeColor="text2"/>
      <w:spacing w:val="14"/>
    </w:rPr>
  </w:style>
  <w:style w:type="paragraph" w:styleId="Heading4">
    <w:name w:val="heading 4"/>
    <w:basedOn w:val="Normal"/>
    <w:next w:val="Normal"/>
    <w:link w:val="Heading4Char"/>
    <w:uiPriority w:val="9"/>
    <w:semiHidden/>
    <w:unhideWhenUsed/>
    <w:qFormat/>
    <w:rsid w:val="00E1226B"/>
    <w:pPr>
      <w:keepNext/>
      <w:keepLines/>
      <w:spacing w:before="200"/>
      <w:outlineLvl w:val="3"/>
    </w:pPr>
    <w:rPr>
      <w:rFonts w:eastAsiaTheme="majorEastAsia" w:cstheme="majorBidi"/>
      <w:b/>
      <w:bCs/>
      <w:i/>
      <w:iCs/>
      <w:color w:val="000000"/>
    </w:rPr>
  </w:style>
  <w:style w:type="paragraph" w:styleId="Heading5">
    <w:name w:val="heading 5"/>
    <w:basedOn w:val="Normal"/>
    <w:next w:val="Normal"/>
    <w:link w:val="Heading5Char"/>
    <w:uiPriority w:val="9"/>
    <w:semiHidden/>
    <w:unhideWhenUsed/>
    <w:qFormat/>
    <w:rsid w:val="00E1226B"/>
    <w:pPr>
      <w:keepNext/>
      <w:keepLines/>
      <w:spacing w:before="20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E1226B"/>
    <w:pPr>
      <w:keepNext/>
      <w:keepLines/>
      <w:spacing w:before="20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E1226B"/>
    <w:pPr>
      <w:keepNext/>
      <w:keepLines/>
      <w:spacing w:before="20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E1226B"/>
    <w:pPr>
      <w:keepNext/>
      <w:keepLines/>
      <w:spacing w:before="20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1226B"/>
    <w:pPr>
      <w:keepNext/>
      <w:keepLines/>
      <w:spacing w:before="20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63D0"/>
    <w:pPr>
      <w:tabs>
        <w:tab w:val="center" w:pos="4513"/>
        <w:tab w:val="right" w:pos="9026"/>
      </w:tabs>
    </w:pPr>
  </w:style>
  <w:style w:type="character" w:customStyle="1" w:styleId="HeaderChar">
    <w:name w:val="Header Char"/>
    <w:basedOn w:val="DefaultParagraphFont"/>
    <w:link w:val="Header"/>
    <w:uiPriority w:val="99"/>
    <w:rsid w:val="006863D0"/>
  </w:style>
  <w:style w:type="paragraph" w:styleId="Footer">
    <w:name w:val="footer"/>
    <w:basedOn w:val="Normal"/>
    <w:link w:val="FooterChar"/>
    <w:uiPriority w:val="99"/>
    <w:unhideWhenUsed/>
    <w:rsid w:val="006863D0"/>
    <w:pPr>
      <w:tabs>
        <w:tab w:val="center" w:pos="4513"/>
        <w:tab w:val="right" w:pos="9026"/>
      </w:tabs>
    </w:pPr>
  </w:style>
  <w:style w:type="character" w:customStyle="1" w:styleId="FooterChar">
    <w:name w:val="Footer Char"/>
    <w:basedOn w:val="DefaultParagraphFont"/>
    <w:link w:val="Footer"/>
    <w:uiPriority w:val="99"/>
    <w:rsid w:val="006863D0"/>
  </w:style>
  <w:style w:type="paragraph" w:styleId="BalloonText">
    <w:name w:val="Balloon Text"/>
    <w:basedOn w:val="Normal"/>
    <w:link w:val="BalloonTextChar"/>
    <w:uiPriority w:val="99"/>
    <w:semiHidden/>
    <w:unhideWhenUsed/>
    <w:rsid w:val="006863D0"/>
    <w:rPr>
      <w:rFonts w:ascii="Tahoma" w:hAnsi="Tahoma" w:cs="Tahoma"/>
      <w:sz w:val="16"/>
      <w:szCs w:val="16"/>
    </w:rPr>
  </w:style>
  <w:style w:type="character" w:customStyle="1" w:styleId="BalloonTextChar">
    <w:name w:val="Balloon Text Char"/>
    <w:basedOn w:val="DefaultParagraphFont"/>
    <w:link w:val="BalloonText"/>
    <w:uiPriority w:val="99"/>
    <w:semiHidden/>
    <w:rsid w:val="006863D0"/>
    <w:rPr>
      <w:rFonts w:ascii="Tahoma" w:hAnsi="Tahoma" w:cs="Tahoma"/>
      <w:sz w:val="16"/>
      <w:szCs w:val="16"/>
    </w:rPr>
  </w:style>
  <w:style w:type="character" w:styleId="Hyperlink">
    <w:name w:val="Hyperlink"/>
    <w:basedOn w:val="DefaultParagraphFont"/>
    <w:uiPriority w:val="99"/>
    <w:unhideWhenUsed/>
    <w:rsid w:val="003447CC"/>
    <w:rPr>
      <w:color w:val="0000FF" w:themeColor="hyperlink"/>
      <w:u w:val="single"/>
    </w:rPr>
  </w:style>
  <w:style w:type="paragraph" w:styleId="ListParagraph">
    <w:name w:val="List Paragraph"/>
    <w:basedOn w:val="Normal"/>
    <w:uiPriority w:val="34"/>
    <w:qFormat/>
    <w:rsid w:val="00E1226B"/>
    <w:pPr>
      <w:ind w:left="720" w:hanging="288"/>
      <w:contextualSpacing/>
    </w:pPr>
    <w:rPr>
      <w:color w:val="1F497D" w:themeColor="text2"/>
    </w:rPr>
  </w:style>
  <w:style w:type="paragraph" w:styleId="Title">
    <w:name w:val="Title"/>
    <w:basedOn w:val="Normal"/>
    <w:next w:val="Normal"/>
    <w:link w:val="TitleChar"/>
    <w:uiPriority w:val="10"/>
    <w:qFormat/>
    <w:rsid w:val="00E96835"/>
    <w:pPr>
      <w:spacing w:after="120"/>
      <w:contextualSpacing/>
    </w:pPr>
    <w:rPr>
      <w:rFonts w:eastAsiaTheme="majorEastAsia" w:cstheme="majorBidi"/>
      <w:color w:val="1F497D" w:themeColor="text2"/>
      <w:spacing w:val="30"/>
      <w:kern w:val="28"/>
      <w:sz w:val="96"/>
      <w:szCs w:val="52"/>
    </w:rPr>
  </w:style>
  <w:style w:type="character" w:customStyle="1" w:styleId="TitleChar">
    <w:name w:val="Title Char"/>
    <w:basedOn w:val="DefaultParagraphFont"/>
    <w:link w:val="Title"/>
    <w:uiPriority w:val="10"/>
    <w:rsid w:val="00E96835"/>
    <w:rPr>
      <w:rFonts w:ascii="Arial" w:eastAsiaTheme="majorEastAsia" w:hAnsi="Arial" w:cstheme="majorBidi"/>
      <w:color w:val="1F497D" w:themeColor="text2"/>
      <w:spacing w:val="30"/>
      <w:kern w:val="28"/>
      <w:sz w:val="96"/>
      <w:szCs w:val="52"/>
    </w:rPr>
  </w:style>
  <w:style w:type="character" w:customStyle="1" w:styleId="Heading1Char">
    <w:name w:val="Heading 1 Char"/>
    <w:basedOn w:val="DefaultParagraphFont"/>
    <w:link w:val="Heading1"/>
    <w:uiPriority w:val="9"/>
    <w:rsid w:val="00E96835"/>
    <w:rPr>
      <w:rFonts w:ascii="Arial" w:eastAsiaTheme="majorEastAsia" w:hAnsi="Arial"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E1226B"/>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E1226B"/>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E1226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1226B"/>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E1226B"/>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E1226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1226B"/>
    <w:rPr>
      <w:rFonts w:asciiTheme="majorHAnsi" w:eastAsiaTheme="majorEastAsia" w:hAnsiTheme="majorHAnsi" w:cstheme="majorBidi"/>
      <w:i/>
      <w:iCs/>
      <w:color w:val="000000"/>
      <w:sz w:val="20"/>
      <w:szCs w:val="20"/>
    </w:rPr>
  </w:style>
  <w:style w:type="paragraph" w:styleId="Caption">
    <w:name w:val="caption"/>
    <w:basedOn w:val="Normal"/>
    <w:next w:val="Normal"/>
    <w:uiPriority w:val="35"/>
    <w:unhideWhenUsed/>
    <w:qFormat/>
    <w:rsid w:val="00B14426"/>
    <w:rPr>
      <w:rFonts w:eastAsiaTheme="minorEastAsia"/>
      <w:bCs/>
      <w:spacing w:val="6"/>
      <w:sz w:val="22"/>
      <w:szCs w:val="18"/>
      <w:lang w:bidi="hi-IN"/>
    </w:rPr>
  </w:style>
  <w:style w:type="paragraph" w:styleId="Subtitle">
    <w:name w:val="Subtitle"/>
    <w:basedOn w:val="Normal"/>
    <w:next w:val="Normal"/>
    <w:link w:val="SubtitleChar"/>
    <w:uiPriority w:val="11"/>
    <w:qFormat/>
    <w:rsid w:val="00E1226B"/>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E1226B"/>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E1226B"/>
    <w:rPr>
      <w:b w:val="0"/>
      <w:bCs/>
      <w:i/>
      <w:color w:val="1F497D" w:themeColor="text2"/>
    </w:rPr>
  </w:style>
  <w:style w:type="character" w:styleId="Emphasis">
    <w:name w:val="Emphasis"/>
    <w:basedOn w:val="DefaultParagraphFont"/>
    <w:uiPriority w:val="20"/>
    <w:qFormat/>
    <w:rsid w:val="00E1226B"/>
    <w:rPr>
      <w:b/>
      <w:i/>
      <w:iCs/>
    </w:rPr>
  </w:style>
  <w:style w:type="paragraph" w:styleId="NoSpacing">
    <w:name w:val="No Spacing"/>
    <w:link w:val="NoSpacingChar"/>
    <w:uiPriority w:val="1"/>
    <w:qFormat/>
    <w:rsid w:val="00E1226B"/>
  </w:style>
  <w:style w:type="character" w:customStyle="1" w:styleId="NoSpacingChar">
    <w:name w:val="No Spacing Char"/>
    <w:basedOn w:val="DefaultParagraphFont"/>
    <w:link w:val="NoSpacing"/>
    <w:uiPriority w:val="1"/>
    <w:rsid w:val="00E1226B"/>
  </w:style>
  <w:style w:type="paragraph" w:styleId="Quote">
    <w:name w:val="Quote"/>
    <w:basedOn w:val="Normal"/>
    <w:next w:val="Normal"/>
    <w:link w:val="QuoteChar"/>
    <w:uiPriority w:val="29"/>
    <w:qFormat/>
    <w:rsid w:val="00E1226B"/>
    <w:pPr>
      <w:spacing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E1226B"/>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E1226B"/>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E1226B"/>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E1226B"/>
    <w:rPr>
      <w:i/>
      <w:iCs/>
      <w:color w:val="000000"/>
    </w:rPr>
  </w:style>
  <w:style w:type="character" w:styleId="IntenseEmphasis">
    <w:name w:val="Intense Emphasis"/>
    <w:basedOn w:val="DefaultParagraphFont"/>
    <w:uiPriority w:val="21"/>
    <w:qFormat/>
    <w:rsid w:val="00E1226B"/>
    <w:rPr>
      <w:b/>
      <w:bCs/>
      <w:i/>
      <w:iCs/>
      <w:color w:val="4F81BD" w:themeColor="accent1"/>
    </w:rPr>
  </w:style>
  <w:style w:type="character" w:styleId="SubtleReference">
    <w:name w:val="Subtle Reference"/>
    <w:basedOn w:val="DefaultParagraphFont"/>
    <w:uiPriority w:val="31"/>
    <w:qFormat/>
    <w:rsid w:val="00E1226B"/>
    <w:rPr>
      <w:smallCaps/>
      <w:color w:val="000000"/>
      <w:u w:val="single"/>
    </w:rPr>
  </w:style>
  <w:style w:type="character" w:styleId="IntenseReference">
    <w:name w:val="Intense Reference"/>
    <w:basedOn w:val="DefaultParagraphFont"/>
    <w:uiPriority w:val="32"/>
    <w:qFormat/>
    <w:rsid w:val="00E1226B"/>
    <w:rPr>
      <w:b w:val="0"/>
      <w:bCs/>
      <w:smallCaps/>
      <w:color w:val="4F81BD" w:themeColor="accent1"/>
      <w:spacing w:val="5"/>
      <w:u w:val="single"/>
    </w:rPr>
  </w:style>
  <w:style w:type="character" w:styleId="BookTitle">
    <w:name w:val="Book Title"/>
    <w:basedOn w:val="DefaultParagraphFont"/>
    <w:uiPriority w:val="33"/>
    <w:qFormat/>
    <w:rsid w:val="00E1226B"/>
    <w:rPr>
      <w:b/>
      <w:bCs/>
      <w:caps/>
      <w:smallCaps w:val="0"/>
      <w:color w:val="1F497D" w:themeColor="text2"/>
      <w:spacing w:val="10"/>
    </w:rPr>
  </w:style>
  <w:style w:type="paragraph" w:styleId="TOCHeading">
    <w:name w:val="TOC Heading"/>
    <w:basedOn w:val="Heading1"/>
    <w:next w:val="Normal"/>
    <w:uiPriority w:val="39"/>
    <w:semiHidden/>
    <w:unhideWhenUsed/>
    <w:qFormat/>
    <w:rsid w:val="00E1226B"/>
    <w:pPr>
      <w:spacing w:before="480" w:line="264" w:lineRule="auto"/>
      <w:outlineLvl w:val="9"/>
    </w:pPr>
    <w:rPr>
      <w:b/>
    </w:rPr>
  </w:style>
  <w:style w:type="character" w:customStyle="1" w:styleId="charchar">
    <w:name w:val="charchar"/>
    <w:basedOn w:val="DefaultParagraphFont"/>
    <w:uiPriority w:val="99"/>
    <w:rsid w:val="00777382"/>
    <w:rPr>
      <w:rFonts w:ascii="Arial" w:hAnsi="Arial" w:cs="Arial"/>
    </w:rPr>
  </w:style>
  <w:style w:type="paragraph" w:styleId="NormalWeb">
    <w:name w:val="Normal (Web)"/>
    <w:basedOn w:val="Normal"/>
    <w:uiPriority w:val="99"/>
    <w:rsid w:val="00777382"/>
    <w:pPr>
      <w:spacing w:before="100" w:beforeAutospacing="1" w:after="100" w:afterAutospacing="1"/>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rsid w:val="00264E75"/>
    <w:rPr>
      <w:rFonts w:cs="Times New Roman"/>
      <w:sz w:val="16"/>
      <w:szCs w:val="16"/>
    </w:rPr>
  </w:style>
  <w:style w:type="paragraph" w:styleId="BodyText">
    <w:name w:val="Body Text"/>
    <w:basedOn w:val="Normal"/>
    <w:link w:val="BodyTextChar"/>
    <w:uiPriority w:val="99"/>
    <w:rsid w:val="00264E75"/>
    <w:pPr>
      <w:spacing w:after="120"/>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uiPriority w:val="99"/>
    <w:rsid w:val="00264E75"/>
    <w:rPr>
      <w:rFonts w:ascii="Times New Roman" w:eastAsia="Times New Roman" w:hAnsi="Times New Roman" w:cs="Times New Roman"/>
      <w:sz w:val="24"/>
      <w:szCs w:val="20"/>
      <w:lang w:eastAsia="en-GB"/>
    </w:rPr>
  </w:style>
  <w:style w:type="paragraph" w:styleId="FootnoteText">
    <w:name w:val="footnote text"/>
    <w:basedOn w:val="Normal"/>
    <w:link w:val="FootnoteTextChar"/>
    <w:uiPriority w:val="99"/>
    <w:semiHidden/>
    <w:rsid w:val="00264E75"/>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264E7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264E75"/>
    <w:rPr>
      <w:rFonts w:cs="Times New Roman"/>
      <w:vertAlign w:val="superscript"/>
    </w:rPr>
  </w:style>
  <w:style w:type="character" w:customStyle="1" w:styleId="apple-converted-space">
    <w:name w:val="apple-converted-space"/>
    <w:basedOn w:val="DefaultParagraphFont"/>
    <w:rsid w:val="00A96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7607">
      <w:bodyDiv w:val="1"/>
      <w:marLeft w:val="0"/>
      <w:marRight w:val="0"/>
      <w:marTop w:val="0"/>
      <w:marBottom w:val="0"/>
      <w:divBdr>
        <w:top w:val="none" w:sz="0" w:space="0" w:color="auto"/>
        <w:left w:val="none" w:sz="0" w:space="0" w:color="auto"/>
        <w:bottom w:val="none" w:sz="0" w:space="0" w:color="auto"/>
        <w:right w:val="none" w:sz="0" w:space="0" w:color="auto"/>
      </w:divBdr>
    </w:div>
    <w:div w:id="877164181">
      <w:bodyDiv w:val="1"/>
      <w:marLeft w:val="0"/>
      <w:marRight w:val="0"/>
      <w:marTop w:val="0"/>
      <w:marBottom w:val="0"/>
      <w:divBdr>
        <w:top w:val="none" w:sz="0" w:space="0" w:color="auto"/>
        <w:left w:val="none" w:sz="0" w:space="0" w:color="auto"/>
        <w:bottom w:val="none" w:sz="0" w:space="0" w:color="auto"/>
        <w:right w:val="none" w:sz="0" w:space="0" w:color="auto"/>
      </w:divBdr>
    </w:div>
    <w:div w:id="964236552">
      <w:bodyDiv w:val="1"/>
      <w:marLeft w:val="0"/>
      <w:marRight w:val="0"/>
      <w:marTop w:val="0"/>
      <w:marBottom w:val="0"/>
      <w:divBdr>
        <w:top w:val="none" w:sz="0" w:space="0" w:color="auto"/>
        <w:left w:val="none" w:sz="0" w:space="0" w:color="auto"/>
        <w:bottom w:val="none" w:sz="0" w:space="0" w:color="auto"/>
        <w:right w:val="none" w:sz="0" w:space="0" w:color="auto"/>
      </w:divBdr>
    </w:div>
    <w:div w:id="968242835">
      <w:bodyDiv w:val="1"/>
      <w:marLeft w:val="0"/>
      <w:marRight w:val="0"/>
      <w:marTop w:val="0"/>
      <w:marBottom w:val="0"/>
      <w:divBdr>
        <w:top w:val="none" w:sz="0" w:space="0" w:color="auto"/>
        <w:left w:val="none" w:sz="0" w:space="0" w:color="auto"/>
        <w:bottom w:val="none" w:sz="0" w:space="0" w:color="auto"/>
        <w:right w:val="none" w:sz="0" w:space="0" w:color="auto"/>
      </w:divBdr>
    </w:div>
    <w:div w:id="131729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DDBB7-218E-4B77-808C-B2110BBAB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1951</Words>
  <Characters>11124</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City of Bradford MDC</Company>
  <LinksUpToDate>false</LinksUpToDate>
  <CharactersWithSpaces>13049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ridleyw</dc:creator>
  <cp:lastModifiedBy>Mark Widdowson</cp:lastModifiedBy>
  <cp:revision>2</cp:revision>
  <cp:lastPrinted>2017-01-16T15:02:00Z</cp:lastPrinted>
  <dcterms:created xsi:type="dcterms:W3CDTF">2017-01-16T15:07:00Z</dcterms:created>
  <dcterms:modified xsi:type="dcterms:W3CDTF">2017-01-16T15:07:00Z</dcterms:modified>
</cp:coreProperties>
</file>