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1F497D" w:themeFill="text2"/>
        <w:tblLook w:val="04A0" w:firstRow="1" w:lastRow="0" w:firstColumn="1" w:lastColumn="0" w:noHBand="0" w:noVBand="1"/>
      </w:tblPr>
      <w:tblGrid>
        <w:gridCol w:w="1910"/>
        <w:gridCol w:w="6585"/>
        <w:gridCol w:w="1785"/>
      </w:tblGrid>
      <w:tr w:rsidR="00D6213E" w:rsidRPr="00D6213E" w:rsidTr="0014797B">
        <w:trPr>
          <w:trHeight w:val="1134"/>
        </w:trPr>
        <w:tc>
          <w:tcPr>
            <w:tcW w:w="1910" w:type="dxa"/>
            <w:tcBorders>
              <w:bottom w:val="nil"/>
            </w:tcBorders>
            <w:shd w:val="clear" w:color="auto" w:fill="1F497D" w:themeFill="text2"/>
            <w:vAlign w:val="center"/>
          </w:tcPr>
          <w:p w:rsidR="00D6213E" w:rsidRPr="00CF75AD" w:rsidRDefault="00D6213E" w:rsidP="00ED0484">
            <w:pPr>
              <w:jc w:val="center"/>
              <w:rPr>
                <w:rFonts w:cs="Arial"/>
                <w:b/>
                <w:color w:val="FFFFFF" w:themeColor="background1"/>
                <w:szCs w:val="24"/>
              </w:rPr>
            </w:pPr>
            <w:bookmarkStart w:id="0" w:name="_GoBack"/>
            <w:bookmarkEnd w:id="0"/>
            <w:r w:rsidRPr="00CF75AD">
              <w:rPr>
                <w:rFonts w:cs="Arial"/>
                <w:b/>
                <w:color w:val="FFFFFF" w:themeColor="background1"/>
                <w:szCs w:val="24"/>
              </w:rPr>
              <w:t>Understanding Bradford District</w:t>
            </w:r>
          </w:p>
        </w:tc>
        <w:tc>
          <w:tcPr>
            <w:tcW w:w="6585" w:type="dxa"/>
            <w:tcBorders>
              <w:bottom w:val="nil"/>
            </w:tcBorders>
            <w:shd w:val="clear" w:color="auto" w:fill="1F497D" w:themeFill="text2"/>
            <w:vAlign w:val="center"/>
          </w:tcPr>
          <w:p w:rsidR="00B727EF" w:rsidRPr="00B727EF" w:rsidRDefault="00B727EF" w:rsidP="0014797B">
            <w:pPr>
              <w:jc w:val="center"/>
              <w:rPr>
                <w:color w:val="FFFFFF" w:themeColor="background1"/>
                <w:sz w:val="20"/>
                <w:szCs w:val="20"/>
              </w:rPr>
            </w:pPr>
            <w:r w:rsidRPr="00B727EF">
              <w:rPr>
                <w:color w:val="FFFFFF" w:themeColor="background1"/>
                <w:sz w:val="20"/>
                <w:szCs w:val="20"/>
              </w:rPr>
              <w:t>City of Bradford Metropolitan District Council</w:t>
            </w:r>
          </w:p>
          <w:p w:rsidR="0014797B" w:rsidRPr="00B727EF" w:rsidRDefault="00D6213E" w:rsidP="0014797B">
            <w:pPr>
              <w:jc w:val="center"/>
              <w:rPr>
                <w:b/>
                <w:color w:val="FFFFFF" w:themeColor="background1"/>
                <w:sz w:val="36"/>
                <w:szCs w:val="36"/>
              </w:rPr>
            </w:pPr>
            <w:r w:rsidRPr="00B727EF">
              <w:rPr>
                <w:b/>
                <w:color w:val="FFFFFF" w:themeColor="background1"/>
                <w:sz w:val="36"/>
                <w:szCs w:val="36"/>
              </w:rPr>
              <w:t xml:space="preserve">Intelligence </w:t>
            </w:r>
            <w:r w:rsidR="0014797B" w:rsidRPr="00B727EF">
              <w:rPr>
                <w:b/>
                <w:color w:val="FFFFFF" w:themeColor="background1"/>
                <w:sz w:val="36"/>
                <w:szCs w:val="36"/>
              </w:rPr>
              <w:t>Bulletin</w:t>
            </w:r>
          </w:p>
        </w:tc>
        <w:tc>
          <w:tcPr>
            <w:tcW w:w="1785" w:type="dxa"/>
            <w:tcBorders>
              <w:bottom w:val="nil"/>
            </w:tcBorders>
            <w:shd w:val="clear" w:color="auto" w:fill="1F497D" w:themeFill="text2"/>
            <w:vAlign w:val="center"/>
          </w:tcPr>
          <w:p w:rsidR="00D6213E" w:rsidRPr="00CF75AD" w:rsidRDefault="00F35AA5" w:rsidP="00ED0484">
            <w:pPr>
              <w:jc w:val="center"/>
              <w:rPr>
                <w:rFonts w:cs="Arial"/>
                <w:color w:val="FFFFFF" w:themeColor="background1"/>
                <w:szCs w:val="24"/>
              </w:rPr>
            </w:pPr>
            <w:r>
              <w:rPr>
                <w:rFonts w:cs="Arial"/>
                <w:color w:val="FFFFFF" w:themeColor="background1"/>
                <w:szCs w:val="24"/>
              </w:rPr>
              <w:t>March 2017</w:t>
            </w:r>
          </w:p>
        </w:tc>
      </w:tr>
    </w:tbl>
    <w:p w:rsidR="00BA4041" w:rsidRPr="00BA4041" w:rsidRDefault="00BA4041">
      <w:pPr>
        <w:rPr>
          <w:sz w:val="6"/>
          <w:szCs w:val="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31"/>
        <w:gridCol w:w="8249"/>
      </w:tblGrid>
      <w:tr w:rsidR="00BA4041" w:rsidTr="00BA4041">
        <w:tc>
          <w:tcPr>
            <w:tcW w:w="1951" w:type="dxa"/>
          </w:tcPr>
          <w:p w:rsidR="00BA4041" w:rsidRDefault="007A0C6F">
            <w:r>
              <w:rPr>
                <w:noProof/>
                <w:lang w:eastAsia="en-GB"/>
              </w:rPr>
              <w:drawing>
                <wp:inline distT="0" distB="0" distL="0" distR="0" wp14:anchorId="64747151" wp14:editId="622C272F">
                  <wp:extent cx="1152525" cy="1133317"/>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0330" cy="1131158"/>
                          </a:xfrm>
                          <a:prstGeom prst="rect">
                            <a:avLst/>
                          </a:prstGeom>
                          <a:noFill/>
                          <a:ln>
                            <a:noFill/>
                          </a:ln>
                        </pic:spPr>
                      </pic:pic>
                    </a:graphicData>
                  </a:graphic>
                </wp:inline>
              </w:drawing>
            </w:r>
          </w:p>
        </w:tc>
        <w:tc>
          <w:tcPr>
            <w:tcW w:w="8329" w:type="dxa"/>
            <w:vAlign w:val="center"/>
          </w:tcPr>
          <w:p w:rsidR="00BA4041" w:rsidRPr="00330D01" w:rsidRDefault="007C6F29" w:rsidP="00330D01">
            <w:pPr>
              <w:pStyle w:val="Title"/>
            </w:pPr>
            <w:r>
              <w:t>Early Years</w:t>
            </w:r>
          </w:p>
        </w:tc>
      </w:tr>
    </w:tbl>
    <w:p w:rsidR="00BA4041" w:rsidRPr="00BA4041" w:rsidRDefault="00BA4041">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80"/>
      </w:tblGrid>
      <w:tr w:rsidR="00D6213E" w:rsidTr="009D73B1">
        <w:tc>
          <w:tcPr>
            <w:tcW w:w="10280" w:type="dxa"/>
            <w:shd w:val="clear" w:color="auto" w:fill="DAEEF3" w:themeFill="accent5" w:themeFillTint="33"/>
          </w:tcPr>
          <w:p w:rsidR="00D6213E" w:rsidRPr="00E1226B" w:rsidRDefault="00D6213E" w:rsidP="00CF75AD">
            <w:pPr>
              <w:pStyle w:val="Heading1"/>
            </w:pPr>
            <w:r w:rsidRPr="00E1226B">
              <w:t>At a glance:</w:t>
            </w:r>
          </w:p>
          <w:p w:rsidR="003D3F4D" w:rsidRDefault="003D3F4D" w:rsidP="008C5F3E">
            <w:pPr>
              <w:pStyle w:val="ListParagraph"/>
              <w:numPr>
                <w:ilvl w:val="0"/>
                <w:numId w:val="2"/>
              </w:numPr>
              <w:rPr>
                <w:rFonts w:cs="Arial"/>
                <w:szCs w:val="24"/>
              </w:rPr>
            </w:pPr>
            <w:r w:rsidRPr="007A7073">
              <w:rPr>
                <w:rFonts w:cs="Arial"/>
              </w:rPr>
              <w:t xml:space="preserve">The Integrated Early Years Strategy is a three year strategy </w:t>
            </w:r>
            <w:r>
              <w:rPr>
                <w:rFonts w:cs="Arial"/>
              </w:rPr>
              <w:t xml:space="preserve">(2015-18) </w:t>
            </w:r>
            <w:r w:rsidRPr="007A7073">
              <w:rPr>
                <w:rFonts w:cs="Arial"/>
              </w:rPr>
              <w:t>that aims to improve the life chances of children in Bradford</w:t>
            </w:r>
            <w:r w:rsidRPr="008C5F3E">
              <w:rPr>
                <w:rFonts w:cs="Arial"/>
                <w:szCs w:val="24"/>
              </w:rPr>
              <w:t xml:space="preserve"> </w:t>
            </w:r>
          </w:p>
          <w:p w:rsidR="00AC62B8" w:rsidRPr="00AC62B8" w:rsidRDefault="00AC62B8" w:rsidP="008C5F3E">
            <w:pPr>
              <w:pStyle w:val="ListParagraph"/>
              <w:numPr>
                <w:ilvl w:val="0"/>
                <w:numId w:val="2"/>
              </w:numPr>
              <w:rPr>
                <w:rFonts w:cs="Arial"/>
                <w:szCs w:val="24"/>
              </w:rPr>
            </w:pPr>
            <w:r>
              <w:rPr>
                <w:rFonts w:cs="Arial"/>
                <w:szCs w:val="24"/>
              </w:rPr>
              <w:t>In 2016</w:t>
            </w:r>
            <w:r w:rsidRPr="003D3F4D">
              <w:t xml:space="preserve"> </w:t>
            </w:r>
            <w:r>
              <w:t>Children’s Centres provided services to 67% of all 0-4 year olds in the District.</w:t>
            </w:r>
          </w:p>
          <w:p w:rsidR="00AC62B8" w:rsidRPr="003D3F4D" w:rsidRDefault="00AC62B8" w:rsidP="00AC62B8">
            <w:pPr>
              <w:pStyle w:val="ListParagraph"/>
              <w:numPr>
                <w:ilvl w:val="0"/>
                <w:numId w:val="2"/>
              </w:numPr>
              <w:rPr>
                <w:rFonts w:cs="Arial"/>
                <w:szCs w:val="24"/>
              </w:rPr>
            </w:pPr>
            <w:r>
              <w:t>In January 2016, over 3,000 two year olds were accessing an early education place.</w:t>
            </w:r>
          </w:p>
          <w:p w:rsidR="0014797B" w:rsidRPr="003D3F4D" w:rsidRDefault="003D3F4D" w:rsidP="008E37BE">
            <w:pPr>
              <w:pStyle w:val="ListParagraph"/>
              <w:numPr>
                <w:ilvl w:val="0"/>
                <w:numId w:val="2"/>
              </w:numPr>
              <w:rPr>
                <w:rFonts w:cs="Arial"/>
                <w:szCs w:val="24"/>
              </w:rPr>
            </w:pPr>
            <w:r>
              <w:t xml:space="preserve">In January 2016, </w:t>
            </w:r>
            <w:r w:rsidR="00AC62B8">
              <w:t>over 90% of the District’s 3 and 4 year olds were accessing an early education p</w:t>
            </w:r>
            <w:r>
              <w:t>lace</w:t>
            </w:r>
            <w:r w:rsidR="00AC62B8">
              <w:t>.</w:t>
            </w:r>
          </w:p>
          <w:p w:rsidR="003D3F4D" w:rsidRPr="00AC62B8" w:rsidRDefault="003D3F4D" w:rsidP="00AC62B8">
            <w:pPr>
              <w:pStyle w:val="ListParagraph"/>
              <w:numPr>
                <w:ilvl w:val="0"/>
                <w:numId w:val="2"/>
              </w:numPr>
              <w:rPr>
                <w:rFonts w:cs="Arial"/>
                <w:szCs w:val="24"/>
              </w:rPr>
            </w:pPr>
            <w:r>
              <w:t>Currently 9</w:t>
            </w:r>
            <w:r w:rsidR="0099748B">
              <w:t>4</w:t>
            </w:r>
            <w:r>
              <w:t>% of our group-based childcare settings achieve a good or outstanding Ofsted rating.</w:t>
            </w:r>
          </w:p>
        </w:tc>
      </w:tr>
    </w:tbl>
    <w:p w:rsidR="00E1226B" w:rsidRDefault="00E1226B" w:rsidP="009D73B1">
      <w:pPr>
        <w:pStyle w:val="Heading1"/>
        <w:sectPr w:rsidR="00E1226B" w:rsidSect="0014797B">
          <w:headerReference w:type="default" r:id="rId10"/>
          <w:footerReference w:type="default" r:id="rId11"/>
          <w:footerReference w:type="first" r:id="rId12"/>
          <w:pgSz w:w="11906" w:h="16838"/>
          <w:pgMar w:top="-582" w:right="991" w:bottom="851" w:left="851" w:header="708" w:footer="401" w:gutter="0"/>
          <w:cols w:space="708"/>
          <w:docGrid w:linePitch="360"/>
        </w:sectPr>
      </w:pPr>
    </w:p>
    <w:p w:rsidR="007A1DD5" w:rsidRDefault="007A1DD5" w:rsidP="001151EA"/>
    <w:p w:rsidR="00AC62B8" w:rsidRDefault="00AC62B8" w:rsidP="007A7073">
      <w:pPr>
        <w:pStyle w:val="Heading1"/>
      </w:pPr>
    </w:p>
    <w:p w:rsidR="007A7073" w:rsidRDefault="007A7073" w:rsidP="007A7073">
      <w:pPr>
        <w:pStyle w:val="Heading1"/>
      </w:pPr>
      <w:r w:rsidRPr="007A7073">
        <w:t>Integrated Early Years Strategy</w:t>
      </w:r>
    </w:p>
    <w:p w:rsidR="007A7073" w:rsidRPr="007A7073" w:rsidRDefault="007A7073" w:rsidP="007A7073">
      <w:pPr>
        <w:pStyle w:val="NormalWeb"/>
        <w:shd w:val="clear" w:color="auto" w:fill="FFFFFF"/>
        <w:spacing w:before="0" w:beforeAutospacing="0" w:after="150" w:afterAutospacing="0"/>
        <w:rPr>
          <w:rFonts w:ascii="Arial" w:hAnsi="Arial" w:cs="Arial"/>
        </w:rPr>
      </w:pPr>
      <w:r w:rsidRPr="007A7073">
        <w:rPr>
          <w:rFonts w:ascii="Arial" w:hAnsi="Arial" w:cs="Arial"/>
        </w:rPr>
        <w:t>The Integrated Early Years Strategy is a three year strategy that aims to improve the life chances of children in Bradford by addressing inequalities, narrowing the gap and improving outcomes for all children including disadvantaged children and families across the district. Evidence is clear that children’s early years experiences shape their development, educational attainment and life chances. This strategy will focus on young children’s development – ensuring they are healthy, have good parent-child relationships and are ready for their next stage of learning.</w:t>
      </w:r>
    </w:p>
    <w:p w:rsidR="007A7073" w:rsidRPr="007A7073" w:rsidRDefault="007A7073" w:rsidP="007A7073">
      <w:pPr>
        <w:pStyle w:val="NormalWeb"/>
        <w:shd w:val="clear" w:color="auto" w:fill="FFFFFF"/>
        <w:spacing w:before="0" w:beforeAutospacing="0" w:after="150" w:afterAutospacing="0"/>
        <w:rPr>
          <w:rFonts w:ascii="Arial" w:hAnsi="Arial" w:cs="Arial"/>
        </w:rPr>
      </w:pPr>
      <w:r w:rsidRPr="007A7073">
        <w:rPr>
          <w:rFonts w:ascii="Arial" w:hAnsi="Arial" w:cs="Arial"/>
        </w:rPr>
        <w:t>The strategy has been developed to ensure the provision of effective early childhood services through high quality universal services and timely access to specialist services as required. These services will promote prevention, early identification, intervention and targeted support. Robust partnership arrangements will be crucial to support delivery and ensure that community engagement and engagement of parents is at the heart of service approaches. This strategy recognises the wide range of partners that contribute to delivery of the strategy including local authority, health, schools, voluntary and private sector provision. They are all crucial partners in improving the life chances of children and bring different skills, resources and contributions.</w:t>
      </w:r>
      <w:r w:rsidR="00F35AA5">
        <w:rPr>
          <w:rStyle w:val="FootnoteReference"/>
          <w:rFonts w:ascii="Arial" w:hAnsi="Arial" w:cs="Arial"/>
        </w:rPr>
        <w:footnoteReference w:id="1"/>
      </w:r>
    </w:p>
    <w:p w:rsidR="007A7073" w:rsidRDefault="007A7073" w:rsidP="001151EA"/>
    <w:p w:rsidR="00AC62B8" w:rsidRDefault="00AC62B8">
      <w:pPr>
        <w:rPr>
          <w:rFonts w:eastAsiaTheme="majorEastAsia" w:cstheme="majorBidi"/>
          <w:bCs/>
          <w:color w:val="4F81BD" w:themeColor="accent1"/>
          <w:spacing w:val="20"/>
          <w:sz w:val="32"/>
          <w:szCs w:val="28"/>
        </w:rPr>
      </w:pPr>
      <w:r>
        <w:br w:type="page"/>
      </w:r>
    </w:p>
    <w:p w:rsidR="00AC62B8" w:rsidRDefault="00AC62B8" w:rsidP="00AC62B8">
      <w:pPr>
        <w:pStyle w:val="Heading1"/>
      </w:pPr>
      <w:r w:rsidRPr="0040162F">
        <w:lastRenderedPageBreak/>
        <w:t>Children’s Centres</w:t>
      </w:r>
    </w:p>
    <w:p w:rsidR="00AC62B8" w:rsidRDefault="00AC62B8" w:rsidP="00AC62B8">
      <w:r>
        <w:t xml:space="preserve">There are 32 children’s centres in Bradford District with services also being delivered in an additional 9 sites.  Provision is divided geographically in to 7 Clusters, the Clusters are managed by the Local Authority, Charities or by Nursery Schools. </w:t>
      </w:r>
      <w:r>
        <w:rPr>
          <w:noProof/>
          <w:lang w:eastAsia="en-GB"/>
        </w:rPr>
        <w:drawing>
          <wp:inline distT="0" distB="0" distL="0" distR="0" wp14:anchorId="09DFB51A" wp14:editId="66336EE6">
            <wp:extent cx="5731510" cy="40557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lusters7_17030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405574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402"/>
        <w:gridCol w:w="426"/>
        <w:gridCol w:w="425"/>
        <w:gridCol w:w="4314"/>
      </w:tblGrid>
      <w:tr w:rsidR="00AC62B8" w:rsidTr="00AC62B8">
        <w:tc>
          <w:tcPr>
            <w:tcW w:w="675" w:type="dxa"/>
            <w:shd w:val="clear" w:color="auto" w:fill="auto"/>
          </w:tcPr>
          <w:p w:rsidR="00AC62B8" w:rsidRDefault="00AC62B8" w:rsidP="00AC62B8">
            <w:r>
              <w:rPr>
                <w:noProof/>
                <w:lang w:eastAsia="en-GB"/>
              </w:rPr>
              <mc:AlternateContent>
                <mc:Choice Requires="wps">
                  <w:drawing>
                    <wp:anchor distT="0" distB="0" distL="114300" distR="114300" simplePos="0" relativeHeight="251659264" behindDoc="0" locked="0" layoutInCell="1" allowOverlap="1" wp14:anchorId="5E326032" wp14:editId="4DA1348E">
                      <wp:simplePos x="0" y="0"/>
                      <wp:positionH relativeFrom="column">
                        <wp:posOffset>0</wp:posOffset>
                      </wp:positionH>
                      <wp:positionV relativeFrom="paragraph">
                        <wp:posOffset>22225</wp:posOffset>
                      </wp:positionV>
                      <wp:extent cx="314325" cy="133350"/>
                      <wp:effectExtent l="0" t="0" r="9525" b="0"/>
                      <wp:wrapNone/>
                      <wp:docPr id="3" name="Rectangle 3"/>
                      <wp:cNvGraphicFramePr/>
                      <a:graphic xmlns:a="http://schemas.openxmlformats.org/drawingml/2006/main">
                        <a:graphicData uri="http://schemas.microsoft.com/office/word/2010/wordprocessingShape">
                          <wps:wsp>
                            <wps:cNvSpPr/>
                            <wps:spPr>
                              <a:xfrm>
                                <a:off x="0" y="0"/>
                                <a:ext cx="314325" cy="133350"/>
                              </a:xfrm>
                              <a:prstGeom prst="rect">
                                <a:avLst/>
                              </a:prstGeom>
                              <a:solidFill>
                                <a:srgbClr val="FF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0;margin-top:1.75pt;width:24.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" fillcolor="#ffbebe" stroked="f" strokeweight="2pt"/>
                  </w:pict>
                </mc:Fallback>
              </mc:AlternateContent>
            </w:r>
          </w:p>
        </w:tc>
        <w:tc>
          <w:tcPr>
            <w:tcW w:w="3402" w:type="dxa"/>
            <w:shd w:val="clear" w:color="auto" w:fill="auto"/>
          </w:tcPr>
          <w:p w:rsidR="00AC62B8" w:rsidRPr="002E7C11" w:rsidRDefault="00AC62B8" w:rsidP="00AC62B8">
            <w:pPr>
              <w:rPr>
                <w:sz w:val="22"/>
              </w:rPr>
            </w:pPr>
            <w:r w:rsidRPr="002E7C11">
              <w:rPr>
                <w:sz w:val="22"/>
              </w:rPr>
              <w:t xml:space="preserve">The Airedale &amp; </w:t>
            </w:r>
            <w:proofErr w:type="spellStart"/>
            <w:r w:rsidRPr="002E7C11">
              <w:rPr>
                <w:sz w:val="22"/>
              </w:rPr>
              <w:t>Wharfedale</w:t>
            </w:r>
            <w:proofErr w:type="spellEnd"/>
            <w:r w:rsidRPr="002E7C11">
              <w:rPr>
                <w:sz w:val="22"/>
              </w:rPr>
              <w:t xml:space="preserve"> Cluster</w:t>
            </w:r>
          </w:p>
        </w:tc>
        <w:tc>
          <w:tcPr>
            <w:tcW w:w="426" w:type="dxa"/>
            <w:shd w:val="clear" w:color="auto" w:fill="auto"/>
          </w:tcPr>
          <w:p w:rsidR="00AC62B8" w:rsidRDefault="00AC62B8" w:rsidP="00AC62B8"/>
        </w:tc>
        <w:tc>
          <w:tcPr>
            <w:tcW w:w="425" w:type="dxa"/>
            <w:shd w:val="clear" w:color="auto" w:fill="auto"/>
          </w:tcPr>
          <w:p w:rsidR="00AC62B8" w:rsidRDefault="00AC62B8" w:rsidP="00AC62B8">
            <w:r>
              <w:rPr>
                <w:noProof/>
                <w:lang w:eastAsia="en-GB"/>
              </w:rPr>
              <mc:AlternateContent>
                <mc:Choice Requires="wps">
                  <w:drawing>
                    <wp:anchor distT="0" distB="0" distL="114300" distR="114300" simplePos="0" relativeHeight="251666432" behindDoc="0" locked="0" layoutInCell="1" allowOverlap="1" wp14:anchorId="3C6A15FC" wp14:editId="4CDA3BB0">
                      <wp:simplePos x="0" y="0"/>
                      <wp:positionH relativeFrom="column">
                        <wp:posOffset>7620</wp:posOffset>
                      </wp:positionH>
                      <wp:positionV relativeFrom="paragraph">
                        <wp:posOffset>43815</wp:posOffset>
                      </wp:positionV>
                      <wp:extent cx="89535" cy="89535"/>
                      <wp:effectExtent l="0" t="0" r="5715" b="5715"/>
                      <wp:wrapNone/>
                      <wp:docPr id="10" name="Flowchart: Connector 10"/>
                      <wp:cNvGraphicFramePr/>
                      <a:graphic xmlns:a="http://schemas.openxmlformats.org/drawingml/2006/main">
                        <a:graphicData uri="http://schemas.microsoft.com/office/word/2010/wordprocessingShape">
                          <wps:wsp>
                            <wps:cNvSpPr/>
                            <wps:spPr>
                              <a:xfrm>
                                <a:off x="0" y="0"/>
                                <a:ext cx="89535" cy="89535"/>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 o:spid="_x0000_s1026" type="#_x0000_t120" style="position:absolute;margin-left:.6pt;margin-top:3.45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" fillcolor="black [3213]" stroked="f" strokeweight="2pt"/>
                  </w:pict>
                </mc:Fallback>
              </mc:AlternateContent>
            </w:r>
          </w:p>
        </w:tc>
        <w:tc>
          <w:tcPr>
            <w:tcW w:w="4314" w:type="dxa"/>
            <w:shd w:val="clear" w:color="auto" w:fill="auto"/>
          </w:tcPr>
          <w:p w:rsidR="00AC62B8" w:rsidRPr="002E7C11" w:rsidRDefault="00AC62B8" w:rsidP="00AC62B8">
            <w:pPr>
              <w:rPr>
                <w:sz w:val="22"/>
              </w:rPr>
            </w:pPr>
            <w:r w:rsidRPr="002E7C11">
              <w:rPr>
                <w:sz w:val="22"/>
              </w:rPr>
              <w:t>Designated Children’s Centre</w:t>
            </w:r>
          </w:p>
        </w:tc>
      </w:tr>
      <w:tr w:rsidR="00AC62B8" w:rsidTr="00AC62B8">
        <w:tc>
          <w:tcPr>
            <w:tcW w:w="675" w:type="dxa"/>
            <w:shd w:val="clear" w:color="auto" w:fill="auto"/>
          </w:tcPr>
          <w:p w:rsidR="00AC62B8" w:rsidRDefault="00AC62B8" w:rsidP="00AC62B8">
            <w:r>
              <w:rPr>
                <w:noProof/>
                <w:lang w:eastAsia="en-GB"/>
              </w:rPr>
              <mc:AlternateContent>
                <mc:Choice Requires="wps">
                  <w:drawing>
                    <wp:anchor distT="0" distB="0" distL="114300" distR="114300" simplePos="0" relativeHeight="251661312" behindDoc="0" locked="0" layoutInCell="1" allowOverlap="1" wp14:anchorId="6B30B24A" wp14:editId="4634BB8A">
                      <wp:simplePos x="0" y="0"/>
                      <wp:positionH relativeFrom="column">
                        <wp:posOffset>0</wp:posOffset>
                      </wp:positionH>
                      <wp:positionV relativeFrom="paragraph">
                        <wp:posOffset>197485</wp:posOffset>
                      </wp:positionV>
                      <wp:extent cx="314325" cy="133350"/>
                      <wp:effectExtent l="0" t="0" r="9525" b="0"/>
                      <wp:wrapNone/>
                      <wp:docPr id="5" name="Rectangle 5"/>
                      <wp:cNvGraphicFramePr/>
                      <a:graphic xmlns:a="http://schemas.openxmlformats.org/drawingml/2006/main">
                        <a:graphicData uri="http://schemas.microsoft.com/office/word/2010/wordprocessingShape">
                          <wps:wsp>
                            <wps:cNvSpPr/>
                            <wps:spPr>
                              <a:xfrm>
                                <a:off x="0" y="0"/>
                                <a:ext cx="314325" cy="133350"/>
                              </a:xfrm>
                              <a:prstGeom prst="rect">
                                <a:avLst/>
                              </a:prstGeom>
                              <a:solidFill>
                                <a:srgbClr val="73B27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0;margin-top:15.55pt;width:24.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" fillcolor="#73b273" stroked="f"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700B844E" wp14:editId="04DFA91D">
                      <wp:simplePos x="0" y="0"/>
                      <wp:positionH relativeFrom="column">
                        <wp:posOffset>0</wp:posOffset>
                      </wp:positionH>
                      <wp:positionV relativeFrom="paragraph">
                        <wp:posOffset>21590</wp:posOffset>
                      </wp:positionV>
                      <wp:extent cx="314325" cy="133350"/>
                      <wp:effectExtent l="0" t="0" r="9525" b="0"/>
                      <wp:wrapNone/>
                      <wp:docPr id="4" name="Rectangle 4"/>
                      <wp:cNvGraphicFramePr/>
                      <a:graphic xmlns:a="http://schemas.openxmlformats.org/drawingml/2006/main">
                        <a:graphicData uri="http://schemas.microsoft.com/office/word/2010/wordprocessingShape">
                          <wps:wsp>
                            <wps:cNvSpPr/>
                            <wps:spPr>
                              <a:xfrm>
                                <a:off x="0" y="0"/>
                                <a:ext cx="314325" cy="133350"/>
                              </a:xfrm>
                              <a:prstGeom prst="rect">
                                <a:avLst/>
                              </a:prstGeom>
                              <a:solidFill>
                                <a:srgbClr val="00E6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0;margin-top:1.7pt;width:24.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" fillcolor="#00e6a9" stroked="f" strokeweight="2pt"/>
                  </w:pict>
                </mc:Fallback>
              </mc:AlternateContent>
            </w:r>
          </w:p>
        </w:tc>
        <w:tc>
          <w:tcPr>
            <w:tcW w:w="3402" w:type="dxa"/>
            <w:shd w:val="clear" w:color="auto" w:fill="auto"/>
          </w:tcPr>
          <w:p w:rsidR="00AC62B8" w:rsidRPr="002E7C11" w:rsidRDefault="00AC62B8" w:rsidP="00AC62B8">
            <w:pPr>
              <w:rPr>
                <w:sz w:val="22"/>
              </w:rPr>
            </w:pPr>
            <w:r w:rsidRPr="002E7C11">
              <w:rPr>
                <w:sz w:val="22"/>
              </w:rPr>
              <w:t>The BD5 Cluster</w:t>
            </w:r>
          </w:p>
        </w:tc>
        <w:tc>
          <w:tcPr>
            <w:tcW w:w="426" w:type="dxa"/>
            <w:shd w:val="clear" w:color="auto" w:fill="auto"/>
          </w:tcPr>
          <w:p w:rsidR="00AC62B8" w:rsidRDefault="00AC62B8" w:rsidP="00AC62B8"/>
        </w:tc>
        <w:tc>
          <w:tcPr>
            <w:tcW w:w="425" w:type="dxa"/>
            <w:shd w:val="clear" w:color="auto" w:fill="auto"/>
          </w:tcPr>
          <w:p w:rsidR="00AC62B8" w:rsidRDefault="00AC62B8" w:rsidP="00AC62B8">
            <w:r>
              <w:rPr>
                <w:noProof/>
                <w:lang w:eastAsia="en-GB"/>
              </w:rPr>
              <mc:AlternateContent>
                <mc:Choice Requires="wps">
                  <w:drawing>
                    <wp:anchor distT="0" distB="0" distL="114300" distR="114300" simplePos="0" relativeHeight="251667456" behindDoc="0" locked="0" layoutInCell="1" allowOverlap="1" wp14:anchorId="13676BEB" wp14:editId="01A3DA8F">
                      <wp:simplePos x="0" y="0"/>
                      <wp:positionH relativeFrom="column">
                        <wp:posOffset>7620</wp:posOffset>
                      </wp:positionH>
                      <wp:positionV relativeFrom="paragraph">
                        <wp:posOffset>43180</wp:posOffset>
                      </wp:positionV>
                      <wp:extent cx="89535" cy="89535"/>
                      <wp:effectExtent l="0" t="0" r="5715" b="5715"/>
                      <wp:wrapNone/>
                      <wp:docPr id="11" name="Isosceles Triangle 11"/>
                      <wp:cNvGraphicFramePr/>
                      <a:graphic xmlns:a="http://schemas.openxmlformats.org/drawingml/2006/main">
                        <a:graphicData uri="http://schemas.microsoft.com/office/word/2010/wordprocessingShape">
                          <wps:wsp>
                            <wps:cNvSpPr/>
                            <wps:spPr>
                              <a:xfrm>
                                <a:off x="0" y="0"/>
                                <a:ext cx="89535" cy="8953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6pt;margin-top:3.4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" fillcolor="black [3213]" stroked="f" strokeweight="2pt"/>
                  </w:pict>
                </mc:Fallback>
              </mc:AlternateContent>
            </w:r>
          </w:p>
        </w:tc>
        <w:tc>
          <w:tcPr>
            <w:tcW w:w="4314" w:type="dxa"/>
            <w:shd w:val="clear" w:color="auto" w:fill="auto"/>
          </w:tcPr>
          <w:p w:rsidR="00AC62B8" w:rsidRPr="002E7C11" w:rsidRDefault="00AC62B8" w:rsidP="00AC62B8">
            <w:pPr>
              <w:rPr>
                <w:sz w:val="22"/>
              </w:rPr>
            </w:pPr>
            <w:r w:rsidRPr="002E7C11">
              <w:rPr>
                <w:sz w:val="22"/>
              </w:rPr>
              <w:t>Outreach delivery site</w:t>
            </w:r>
          </w:p>
        </w:tc>
      </w:tr>
      <w:tr w:rsidR="00AC62B8" w:rsidTr="00AC62B8">
        <w:tc>
          <w:tcPr>
            <w:tcW w:w="675" w:type="dxa"/>
            <w:shd w:val="clear" w:color="auto" w:fill="auto"/>
          </w:tcPr>
          <w:p w:rsidR="00AC62B8" w:rsidRDefault="00AC62B8" w:rsidP="00AC62B8"/>
        </w:tc>
        <w:tc>
          <w:tcPr>
            <w:tcW w:w="3402" w:type="dxa"/>
            <w:shd w:val="clear" w:color="auto" w:fill="auto"/>
          </w:tcPr>
          <w:p w:rsidR="00AC62B8" w:rsidRPr="002E7C11" w:rsidRDefault="00AC62B8" w:rsidP="00AC62B8">
            <w:pPr>
              <w:rPr>
                <w:sz w:val="22"/>
              </w:rPr>
            </w:pPr>
            <w:r w:rsidRPr="002E7C11">
              <w:rPr>
                <w:sz w:val="22"/>
              </w:rPr>
              <w:t>The East Bradford Cluster</w:t>
            </w:r>
          </w:p>
        </w:tc>
        <w:tc>
          <w:tcPr>
            <w:tcW w:w="426" w:type="dxa"/>
            <w:shd w:val="clear" w:color="auto" w:fill="auto"/>
          </w:tcPr>
          <w:p w:rsidR="00AC62B8" w:rsidRDefault="00AC62B8" w:rsidP="00AC62B8"/>
        </w:tc>
        <w:tc>
          <w:tcPr>
            <w:tcW w:w="425" w:type="dxa"/>
            <w:shd w:val="clear" w:color="auto" w:fill="auto"/>
          </w:tcPr>
          <w:p w:rsidR="00AC62B8" w:rsidRDefault="00AC62B8" w:rsidP="00AC62B8"/>
        </w:tc>
        <w:tc>
          <w:tcPr>
            <w:tcW w:w="4314" w:type="dxa"/>
            <w:shd w:val="clear" w:color="auto" w:fill="auto"/>
          </w:tcPr>
          <w:p w:rsidR="00AC62B8" w:rsidRDefault="00AC62B8" w:rsidP="00AC62B8"/>
        </w:tc>
      </w:tr>
      <w:tr w:rsidR="00AC62B8" w:rsidTr="00AC62B8">
        <w:tc>
          <w:tcPr>
            <w:tcW w:w="675" w:type="dxa"/>
            <w:shd w:val="clear" w:color="auto" w:fill="auto"/>
          </w:tcPr>
          <w:p w:rsidR="00AC62B8" w:rsidRDefault="00AC62B8" w:rsidP="00AC62B8">
            <w:r>
              <w:rPr>
                <w:noProof/>
                <w:lang w:eastAsia="en-GB"/>
              </w:rPr>
              <mc:AlternateContent>
                <mc:Choice Requires="wps">
                  <w:drawing>
                    <wp:anchor distT="0" distB="0" distL="114300" distR="114300" simplePos="0" relativeHeight="251662336" behindDoc="0" locked="0" layoutInCell="1" allowOverlap="1" wp14:anchorId="06045EAB" wp14:editId="70B07ADE">
                      <wp:simplePos x="0" y="0"/>
                      <wp:positionH relativeFrom="column">
                        <wp:posOffset>0</wp:posOffset>
                      </wp:positionH>
                      <wp:positionV relativeFrom="paragraph">
                        <wp:posOffset>19050</wp:posOffset>
                      </wp:positionV>
                      <wp:extent cx="314325" cy="133350"/>
                      <wp:effectExtent l="0" t="0" r="9525" b="0"/>
                      <wp:wrapNone/>
                      <wp:docPr id="6" name="Rectangle 6"/>
                      <wp:cNvGraphicFramePr/>
                      <a:graphic xmlns:a="http://schemas.openxmlformats.org/drawingml/2006/main">
                        <a:graphicData uri="http://schemas.microsoft.com/office/word/2010/wordprocessingShape">
                          <wps:wsp>
                            <wps:cNvSpPr/>
                            <wps:spPr>
                              <a:xfrm>
                                <a:off x="0" y="0"/>
                                <a:ext cx="314325" cy="133350"/>
                              </a:xfrm>
                              <a:prstGeom prst="rect">
                                <a:avLst/>
                              </a:prstGeom>
                              <a:solidFill>
                                <a:srgbClr val="F57A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0;margin-top:1.5pt;width:24.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" fillcolor="#f57a7a" stroked="f" strokeweight="2pt"/>
                  </w:pict>
                </mc:Fallback>
              </mc:AlternateContent>
            </w:r>
          </w:p>
        </w:tc>
        <w:tc>
          <w:tcPr>
            <w:tcW w:w="3402" w:type="dxa"/>
            <w:shd w:val="clear" w:color="auto" w:fill="auto"/>
          </w:tcPr>
          <w:p w:rsidR="00AC62B8" w:rsidRPr="002E7C11" w:rsidRDefault="00AC62B8" w:rsidP="00AC62B8">
            <w:pPr>
              <w:rPr>
                <w:sz w:val="22"/>
              </w:rPr>
            </w:pPr>
            <w:r w:rsidRPr="002E7C11">
              <w:rPr>
                <w:sz w:val="22"/>
              </w:rPr>
              <w:t>The Keighley Cluster</w:t>
            </w:r>
          </w:p>
        </w:tc>
        <w:tc>
          <w:tcPr>
            <w:tcW w:w="426" w:type="dxa"/>
            <w:shd w:val="clear" w:color="auto" w:fill="auto"/>
          </w:tcPr>
          <w:p w:rsidR="00AC62B8" w:rsidRDefault="00AC62B8" w:rsidP="00AC62B8"/>
        </w:tc>
        <w:tc>
          <w:tcPr>
            <w:tcW w:w="425" w:type="dxa"/>
            <w:shd w:val="clear" w:color="auto" w:fill="auto"/>
          </w:tcPr>
          <w:p w:rsidR="00AC62B8" w:rsidRDefault="00AC62B8" w:rsidP="00AC62B8"/>
        </w:tc>
        <w:tc>
          <w:tcPr>
            <w:tcW w:w="4314" w:type="dxa"/>
            <w:shd w:val="clear" w:color="auto" w:fill="auto"/>
          </w:tcPr>
          <w:p w:rsidR="00AC62B8" w:rsidRDefault="00AC62B8" w:rsidP="00AC62B8"/>
        </w:tc>
      </w:tr>
      <w:tr w:rsidR="00AC62B8" w:rsidTr="00AC62B8">
        <w:tc>
          <w:tcPr>
            <w:tcW w:w="675" w:type="dxa"/>
            <w:shd w:val="clear" w:color="auto" w:fill="auto"/>
          </w:tcPr>
          <w:p w:rsidR="00AC62B8" w:rsidRDefault="00AC62B8" w:rsidP="00AC62B8">
            <w:r>
              <w:rPr>
                <w:noProof/>
                <w:lang w:eastAsia="en-GB"/>
              </w:rPr>
              <mc:AlternateContent>
                <mc:Choice Requires="wps">
                  <w:drawing>
                    <wp:anchor distT="0" distB="0" distL="114300" distR="114300" simplePos="0" relativeHeight="251663360" behindDoc="0" locked="0" layoutInCell="1" allowOverlap="1" wp14:anchorId="3D669D8D" wp14:editId="24B71167">
                      <wp:simplePos x="0" y="0"/>
                      <wp:positionH relativeFrom="column">
                        <wp:posOffset>0</wp:posOffset>
                      </wp:positionH>
                      <wp:positionV relativeFrom="paragraph">
                        <wp:posOffset>18415</wp:posOffset>
                      </wp:positionV>
                      <wp:extent cx="314325" cy="133350"/>
                      <wp:effectExtent l="0" t="0" r="9525" b="0"/>
                      <wp:wrapNone/>
                      <wp:docPr id="7" name="Rectangle 7"/>
                      <wp:cNvGraphicFramePr/>
                      <a:graphic xmlns:a="http://schemas.openxmlformats.org/drawingml/2006/main">
                        <a:graphicData uri="http://schemas.microsoft.com/office/word/2010/wordprocessingShape">
                          <wps:wsp>
                            <wps:cNvSpPr/>
                            <wps:spPr>
                              <a:xfrm>
                                <a:off x="0" y="0"/>
                                <a:ext cx="314325" cy="133350"/>
                              </a:xfrm>
                              <a:prstGeom prst="rect">
                                <a:avLst/>
                              </a:prstGeom>
                              <a:solidFill>
                                <a:srgbClr val="55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0;margin-top:1.45pt;width:24.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" fillcolor="#5f0" stroked="f" strokeweight="2pt"/>
                  </w:pict>
                </mc:Fallback>
              </mc:AlternateContent>
            </w:r>
          </w:p>
        </w:tc>
        <w:tc>
          <w:tcPr>
            <w:tcW w:w="3402" w:type="dxa"/>
            <w:shd w:val="clear" w:color="auto" w:fill="auto"/>
          </w:tcPr>
          <w:p w:rsidR="00AC62B8" w:rsidRPr="002E7C11" w:rsidRDefault="00AC62B8" w:rsidP="00AC62B8">
            <w:pPr>
              <w:rPr>
                <w:sz w:val="22"/>
              </w:rPr>
            </w:pPr>
            <w:r w:rsidRPr="002E7C11">
              <w:rPr>
                <w:sz w:val="22"/>
              </w:rPr>
              <w:t>The Lister Park Cluster</w:t>
            </w:r>
          </w:p>
        </w:tc>
        <w:tc>
          <w:tcPr>
            <w:tcW w:w="426" w:type="dxa"/>
            <w:shd w:val="clear" w:color="auto" w:fill="auto"/>
          </w:tcPr>
          <w:p w:rsidR="00AC62B8" w:rsidRDefault="00AC62B8" w:rsidP="00AC62B8"/>
        </w:tc>
        <w:tc>
          <w:tcPr>
            <w:tcW w:w="425" w:type="dxa"/>
            <w:shd w:val="clear" w:color="auto" w:fill="auto"/>
          </w:tcPr>
          <w:p w:rsidR="00AC62B8" w:rsidRDefault="00AC62B8" w:rsidP="00AC62B8"/>
        </w:tc>
        <w:tc>
          <w:tcPr>
            <w:tcW w:w="4314" w:type="dxa"/>
            <w:shd w:val="clear" w:color="auto" w:fill="auto"/>
          </w:tcPr>
          <w:p w:rsidR="00AC62B8" w:rsidRDefault="00AC62B8" w:rsidP="00AC62B8"/>
        </w:tc>
      </w:tr>
      <w:tr w:rsidR="00AC62B8" w:rsidTr="00AC62B8">
        <w:tc>
          <w:tcPr>
            <w:tcW w:w="675" w:type="dxa"/>
            <w:shd w:val="clear" w:color="auto" w:fill="auto"/>
          </w:tcPr>
          <w:p w:rsidR="00AC62B8" w:rsidRDefault="00AC62B8" w:rsidP="00AC62B8">
            <w:r>
              <w:rPr>
                <w:noProof/>
                <w:lang w:eastAsia="en-GB"/>
              </w:rPr>
              <mc:AlternateContent>
                <mc:Choice Requires="wps">
                  <w:drawing>
                    <wp:anchor distT="0" distB="0" distL="114300" distR="114300" simplePos="0" relativeHeight="251664384" behindDoc="0" locked="0" layoutInCell="1" allowOverlap="1" wp14:anchorId="1E235477" wp14:editId="4C6C2DF9">
                      <wp:simplePos x="0" y="0"/>
                      <wp:positionH relativeFrom="column">
                        <wp:posOffset>0</wp:posOffset>
                      </wp:positionH>
                      <wp:positionV relativeFrom="paragraph">
                        <wp:posOffset>17145</wp:posOffset>
                      </wp:positionV>
                      <wp:extent cx="314325" cy="133350"/>
                      <wp:effectExtent l="0" t="0" r="9525" b="0"/>
                      <wp:wrapNone/>
                      <wp:docPr id="8" name="Rectangle 8"/>
                      <wp:cNvGraphicFramePr/>
                      <a:graphic xmlns:a="http://schemas.openxmlformats.org/drawingml/2006/main">
                        <a:graphicData uri="http://schemas.microsoft.com/office/word/2010/wordprocessingShape">
                          <wps:wsp>
                            <wps:cNvSpPr/>
                            <wps:spPr>
                              <a:xfrm>
                                <a:off x="0" y="0"/>
                                <a:ext cx="314325" cy="133350"/>
                              </a:xfrm>
                              <a:prstGeom prst="rect">
                                <a:avLst/>
                              </a:prstGeom>
                              <a:solidFill>
                                <a:srgbClr val="FFFF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0;margin-top:1.35pt;width:24.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" fillcolor="#ffff9b" stroked="f" strokeweight="2pt"/>
                  </w:pict>
                </mc:Fallback>
              </mc:AlternateContent>
            </w:r>
          </w:p>
        </w:tc>
        <w:tc>
          <w:tcPr>
            <w:tcW w:w="3402" w:type="dxa"/>
            <w:shd w:val="clear" w:color="auto" w:fill="auto"/>
          </w:tcPr>
          <w:p w:rsidR="00AC62B8" w:rsidRPr="002E7C11" w:rsidRDefault="00AC62B8" w:rsidP="00AC62B8">
            <w:pPr>
              <w:rPr>
                <w:sz w:val="22"/>
              </w:rPr>
            </w:pPr>
            <w:r w:rsidRPr="002E7C11">
              <w:rPr>
                <w:sz w:val="22"/>
              </w:rPr>
              <w:t>The South Bradford Cluster</w:t>
            </w:r>
          </w:p>
        </w:tc>
        <w:tc>
          <w:tcPr>
            <w:tcW w:w="426" w:type="dxa"/>
            <w:shd w:val="clear" w:color="auto" w:fill="auto"/>
          </w:tcPr>
          <w:p w:rsidR="00AC62B8" w:rsidRDefault="00AC62B8" w:rsidP="00AC62B8"/>
        </w:tc>
        <w:tc>
          <w:tcPr>
            <w:tcW w:w="425" w:type="dxa"/>
            <w:shd w:val="clear" w:color="auto" w:fill="auto"/>
          </w:tcPr>
          <w:p w:rsidR="00AC62B8" w:rsidRDefault="00AC62B8" w:rsidP="00AC62B8"/>
        </w:tc>
        <w:tc>
          <w:tcPr>
            <w:tcW w:w="4314" w:type="dxa"/>
            <w:shd w:val="clear" w:color="auto" w:fill="auto"/>
          </w:tcPr>
          <w:p w:rsidR="00AC62B8" w:rsidRDefault="00AC62B8" w:rsidP="00AC62B8"/>
        </w:tc>
      </w:tr>
      <w:tr w:rsidR="00AC62B8" w:rsidTr="00AC62B8">
        <w:tc>
          <w:tcPr>
            <w:tcW w:w="675" w:type="dxa"/>
            <w:shd w:val="clear" w:color="auto" w:fill="auto"/>
          </w:tcPr>
          <w:p w:rsidR="00AC62B8" w:rsidRDefault="00AC62B8" w:rsidP="00AC62B8">
            <w:r>
              <w:rPr>
                <w:noProof/>
                <w:lang w:eastAsia="en-GB"/>
              </w:rPr>
              <mc:AlternateContent>
                <mc:Choice Requires="wps">
                  <w:drawing>
                    <wp:anchor distT="0" distB="0" distL="114300" distR="114300" simplePos="0" relativeHeight="251665408" behindDoc="0" locked="0" layoutInCell="1" allowOverlap="1" wp14:anchorId="6D2C9401" wp14:editId="6236CF71">
                      <wp:simplePos x="0" y="0"/>
                      <wp:positionH relativeFrom="column">
                        <wp:posOffset>0</wp:posOffset>
                      </wp:positionH>
                      <wp:positionV relativeFrom="paragraph">
                        <wp:posOffset>16510</wp:posOffset>
                      </wp:positionV>
                      <wp:extent cx="314325" cy="133350"/>
                      <wp:effectExtent l="0" t="0" r="9525" b="0"/>
                      <wp:wrapNone/>
                      <wp:docPr id="9" name="Rectangle 9"/>
                      <wp:cNvGraphicFramePr/>
                      <a:graphic xmlns:a="http://schemas.openxmlformats.org/drawingml/2006/main">
                        <a:graphicData uri="http://schemas.microsoft.com/office/word/2010/wordprocessingShape">
                          <wps:wsp>
                            <wps:cNvSpPr/>
                            <wps:spPr>
                              <a:xfrm>
                                <a:off x="0" y="0"/>
                                <a:ext cx="314325" cy="133350"/>
                              </a:xfrm>
                              <a:prstGeom prst="rect">
                                <a:avLst/>
                              </a:prstGeom>
                              <a:solidFill>
                                <a:srgbClr val="97DB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0;margin-top:1.3pt;width:24.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" fillcolor="#97dbf2" stroked="f" strokeweight="2pt"/>
                  </w:pict>
                </mc:Fallback>
              </mc:AlternateContent>
            </w:r>
          </w:p>
        </w:tc>
        <w:tc>
          <w:tcPr>
            <w:tcW w:w="3402" w:type="dxa"/>
            <w:shd w:val="clear" w:color="auto" w:fill="auto"/>
          </w:tcPr>
          <w:p w:rsidR="00AC62B8" w:rsidRPr="002E7C11" w:rsidRDefault="00AC62B8" w:rsidP="00AC62B8">
            <w:pPr>
              <w:rPr>
                <w:sz w:val="22"/>
              </w:rPr>
            </w:pPr>
            <w:r w:rsidRPr="002E7C11">
              <w:rPr>
                <w:sz w:val="22"/>
              </w:rPr>
              <w:t>The West Bradford Cluster</w:t>
            </w:r>
          </w:p>
        </w:tc>
        <w:tc>
          <w:tcPr>
            <w:tcW w:w="426" w:type="dxa"/>
            <w:shd w:val="clear" w:color="auto" w:fill="auto"/>
          </w:tcPr>
          <w:p w:rsidR="00AC62B8" w:rsidRDefault="00AC62B8" w:rsidP="00AC62B8"/>
        </w:tc>
        <w:tc>
          <w:tcPr>
            <w:tcW w:w="425" w:type="dxa"/>
            <w:shd w:val="clear" w:color="auto" w:fill="auto"/>
          </w:tcPr>
          <w:p w:rsidR="00AC62B8" w:rsidRDefault="00AC62B8" w:rsidP="00AC62B8"/>
        </w:tc>
        <w:tc>
          <w:tcPr>
            <w:tcW w:w="4314" w:type="dxa"/>
            <w:shd w:val="clear" w:color="auto" w:fill="auto"/>
          </w:tcPr>
          <w:p w:rsidR="00AC62B8" w:rsidRDefault="00AC62B8" w:rsidP="00AC62B8"/>
        </w:tc>
      </w:tr>
    </w:tbl>
    <w:p w:rsidR="00AC62B8" w:rsidRDefault="00AC62B8" w:rsidP="00AC62B8">
      <w:pPr>
        <w:pStyle w:val="BodyText"/>
        <w:rPr>
          <w:rFonts w:asciiTheme="minorHAnsi" w:eastAsiaTheme="minorHAnsi" w:hAnsiTheme="minorHAnsi" w:cstheme="minorBidi"/>
          <w:b w:val="0"/>
          <w:sz w:val="22"/>
          <w:szCs w:val="22"/>
        </w:rPr>
      </w:pPr>
    </w:p>
    <w:p w:rsidR="00AC62B8" w:rsidRPr="007A7073" w:rsidRDefault="00AC62B8" w:rsidP="00AC62B8">
      <w:pPr>
        <w:pStyle w:val="NormalWeb"/>
        <w:shd w:val="clear" w:color="auto" w:fill="FFFFFF"/>
        <w:spacing w:before="0" w:beforeAutospacing="0" w:after="0" w:afterAutospacing="0"/>
        <w:rPr>
          <w:rFonts w:ascii="Arial" w:hAnsi="Arial" w:cs="Arial"/>
        </w:rPr>
      </w:pPr>
      <w:r w:rsidRPr="007A7073">
        <w:rPr>
          <w:rFonts w:ascii="Arial" w:hAnsi="Arial" w:cs="Arial"/>
        </w:rPr>
        <w:t>Each Cluster is responsible for providing services to children (aged 0-4) and families living in their area (reach area). The universal or early years offer is available to all families:</w:t>
      </w:r>
    </w:p>
    <w:p w:rsidR="00AC62B8" w:rsidRPr="007A7073" w:rsidRDefault="00AC62B8" w:rsidP="00AC62B8">
      <w:pPr>
        <w:pStyle w:val="Heading4"/>
        <w:shd w:val="clear" w:color="auto" w:fill="FFFFFF"/>
        <w:spacing w:before="0"/>
        <w:rPr>
          <w:rFonts w:cs="Arial"/>
          <w:color w:val="auto"/>
          <w:szCs w:val="24"/>
        </w:rPr>
      </w:pPr>
      <w:r w:rsidRPr="007A7073">
        <w:rPr>
          <w:rFonts w:cs="Arial"/>
          <w:color w:val="auto"/>
          <w:szCs w:val="24"/>
        </w:rPr>
        <w:t>This offer includes:</w:t>
      </w:r>
    </w:p>
    <w:p w:rsidR="00AC62B8" w:rsidRPr="007A7073" w:rsidRDefault="00AC62B8" w:rsidP="00AC62B8">
      <w:pPr>
        <w:numPr>
          <w:ilvl w:val="0"/>
          <w:numId w:val="3"/>
        </w:numPr>
        <w:shd w:val="clear" w:color="auto" w:fill="FFFFFF"/>
        <w:rPr>
          <w:rFonts w:cs="Arial"/>
          <w:szCs w:val="24"/>
        </w:rPr>
      </w:pPr>
      <w:r w:rsidRPr="007A7073">
        <w:rPr>
          <w:rFonts w:cs="Arial"/>
          <w:szCs w:val="24"/>
        </w:rPr>
        <w:t>A range of parenting courses and support</w:t>
      </w:r>
    </w:p>
    <w:p w:rsidR="00AC62B8" w:rsidRPr="007A7073" w:rsidRDefault="00AC62B8" w:rsidP="00AC62B8">
      <w:pPr>
        <w:numPr>
          <w:ilvl w:val="0"/>
          <w:numId w:val="3"/>
        </w:numPr>
        <w:shd w:val="clear" w:color="auto" w:fill="FFFFFF"/>
        <w:spacing w:before="100" w:beforeAutospacing="1" w:after="100" w:afterAutospacing="1"/>
        <w:rPr>
          <w:rFonts w:cs="Arial"/>
          <w:szCs w:val="24"/>
        </w:rPr>
      </w:pPr>
      <w:r w:rsidRPr="007A7073">
        <w:rPr>
          <w:rFonts w:cs="Arial"/>
          <w:szCs w:val="24"/>
        </w:rPr>
        <w:t>The Family Links antenatal programme: an 8 week course for pregnant women and their partners to prepare for the birth and parenthood</w:t>
      </w:r>
    </w:p>
    <w:p w:rsidR="00AC62B8" w:rsidRPr="007A7073" w:rsidRDefault="00AC62B8" w:rsidP="00AC62B8">
      <w:pPr>
        <w:numPr>
          <w:ilvl w:val="0"/>
          <w:numId w:val="3"/>
        </w:numPr>
        <w:shd w:val="clear" w:color="auto" w:fill="FFFFFF"/>
        <w:spacing w:before="100" w:beforeAutospacing="1" w:after="100" w:afterAutospacing="1"/>
        <w:rPr>
          <w:rFonts w:cs="Arial"/>
          <w:szCs w:val="24"/>
        </w:rPr>
      </w:pPr>
      <w:r w:rsidRPr="007A7073">
        <w:rPr>
          <w:rFonts w:cs="Arial"/>
          <w:szCs w:val="24"/>
        </w:rPr>
        <w:t>Introduction to your children's centre with support for infant feeding</w:t>
      </w:r>
    </w:p>
    <w:p w:rsidR="00AC62B8" w:rsidRPr="007A7073" w:rsidRDefault="00AC62B8" w:rsidP="00AC62B8">
      <w:pPr>
        <w:numPr>
          <w:ilvl w:val="0"/>
          <w:numId w:val="3"/>
        </w:numPr>
        <w:shd w:val="clear" w:color="auto" w:fill="FFFFFF"/>
        <w:spacing w:before="100" w:beforeAutospacing="1" w:after="100" w:afterAutospacing="1"/>
        <w:rPr>
          <w:rFonts w:cs="Arial"/>
          <w:szCs w:val="24"/>
        </w:rPr>
      </w:pPr>
      <w:r w:rsidRPr="007A7073">
        <w:rPr>
          <w:rFonts w:cs="Arial"/>
          <w:szCs w:val="24"/>
        </w:rPr>
        <w:t>Weaning advice</w:t>
      </w:r>
    </w:p>
    <w:p w:rsidR="00AC62B8" w:rsidRPr="007A7073" w:rsidRDefault="00AC62B8" w:rsidP="00AC62B8">
      <w:pPr>
        <w:numPr>
          <w:ilvl w:val="0"/>
          <w:numId w:val="3"/>
        </w:numPr>
        <w:shd w:val="clear" w:color="auto" w:fill="FFFFFF"/>
        <w:spacing w:before="100" w:beforeAutospacing="1" w:after="100" w:afterAutospacing="1"/>
        <w:rPr>
          <w:rFonts w:cs="Arial"/>
          <w:szCs w:val="24"/>
        </w:rPr>
      </w:pPr>
      <w:r w:rsidRPr="007A7073">
        <w:rPr>
          <w:rFonts w:cs="Arial"/>
          <w:szCs w:val="24"/>
        </w:rPr>
        <w:t>Early language development session (6 months and 18 months of age)</w:t>
      </w:r>
    </w:p>
    <w:p w:rsidR="00AC62B8" w:rsidRPr="007A7073" w:rsidRDefault="00AC62B8" w:rsidP="00AC62B8">
      <w:pPr>
        <w:numPr>
          <w:ilvl w:val="0"/>
          <w:numId w:val="3"/>
        </w:numPr>
        <w:shd w:val="clear" w:color="auto" w:fill="FFFFFF"/>
        <w:spacing w:before="100" w:beforeAutospacing="1" w:after="100" w:afterAutospacing="1"/>
        <w:rPr>
          <w:rFonts w:cs="Arial"/>
          <w:szCs w:val="24"/>
        </w:rPr>
      </w:pPr>
      <w:r w:rsidRPr="007A7073">
        <w:rPr>
          <w:rFonts w:cs="Arial"/>
          <w:szCs w:val="24"/>
        </w:rPr>
        <w:t>Help with access to a free early education place in the term after their child’s third birthday</w:t>
      </w:r>
    </w:p>
    <w:p w:rsidR="00AC62B8" w:rsidRPr="007A7073" w:rsidRDefault="00AC62B8" w:rsidP="00AC62B8">
      <w:pPr>
        <w:numPr>
          <w:ilvl w:val="0"/>
          <w:numId w:val="3"/>
        </w:numPr>
        <w:shd w:val="clear" w:color="auto" w:fill="FFFFFF"/>
        <w:spacing w:before="100" w:beforeAutospacing="1" w:after="100" w:afterAutospacing="1"/>
        <w:rPr>
          <w:rFonts w:cs="Arial"/>
          <w:szCs w:val="24"/>
        </w:rPr>
      </w:pPr>
      <w:r w:rsidRPr="007A7073">
        <w:rPr>
          <w:rFonts w:cs="Arial"/>
          <w:szCs w:val="24"/>
        </w:rPr>
        <w:t>Free Book Start packs</w:t>
      </w:r>
    </w:p>
    <w:p w:rsidR="00AC62B8" w:rsidRPr="007A7073" w:rsidRDefault="00AC62B8" w:rsidP="00AC62B8">
      <w:pPr>
        <w:numPr>
          <w:ilvl w:val="0"/>
          <w:numId w:val="3"/>
        </w:numPr>
        <w:shd w:val="clear" w:color="auto" w:fill="FFFFFF"/>
        <w:spacing w:before="100" w:beforeAutospacing="1" w:after="100" w:afterAutospacing="1"/>
        <w:rPr>
          <w:rFonts w:cs="Arial"/>
          <w:szCs w:val="24"/>
        </w:rPr>
      </w:pPr>
      <w:r w:rsidRPr="007A7073">
        <w:rPr>
          <w:rFonts w:cs="Arial"/>
          <w:szCs w:val="24"/>
        </w:rPr>
        <w:t>Access to information through the Families Information Service</w:t>
      </w:r>
    </w:p>
    <w:p w:rsidR="00AC62B8" w:rsidRPr="007A7073" w:rsidRDefault="00AC62B8" w:rsidP="00AC62B8">
      <w:pPr>
        <w:numPr>
          <w:ilvl w:val="0"/>
          <w:numId w:val="3"/>
        </w:numPr>
        <w:shd w:val="clear" w:color="auto" w:fill="FFFFFF"/>
        <w:spacing w:before="100" w:beforeAutospacing="1" w:after="100" w:afterAutospacing="1"/>
        <w:rPr>
          <w:rFonts w:cs="Arial"/>
          <w:szCs w:val="24"/>
        </w:rPr>
      </w:pPr>
      <w:r w:rsidRPr="007A7073">
        <w:rPr>
          <w:rFonts w:cs="Arial"/>
          <w:szCs w:val="24"/>
        </w:rPr>
        <w:t>Adult learning</w:t>
      </w:r>
    </w:p>
    <w:p w:rsidR="00AC62B8" w:rsidRPr="007A7073" w:rsidRDefault="00AC62B8" w:rsidP="00AC62B8">
      <w:pPr>
        <w:pStyle w:val="NormalWeb"/>
        <w:shd w:val="clear" w:color="auto" w:fill="FFFFFF"/>
        <w:spacing w:before="0" w:beforeAutospacing="0" w:after="150" w:afterAutospacing="0"/>
        <w:rPr>
          <w:rFonts w:ascii="Arial" w:hAnsi="Arial" w:cs="Arial"/>
        </w:rPr>
      </w:pPr>
      <w:r w:rsidRPr="007A7073">
        <w:rPr>
          <w:rFonts w:ascii="Arial" w:hAnsi="Arial" w:cs="Arial"/>
        </w:rPr>
        <w:t>Additional support is available for families who qualify for it, such as two-year-old early education places for eligible children.</w:t>
      </w:r>
    </w:p>
    <w:p w:rsidR="00AC62B8" w:rsidRPr="007A7073" w:rsidRDefault="00AC62B8" w:rsidP="00AC62B8">
      <w:pPr>
        <w:pStyle w:val="BodyText"/>
        <w:rPr>
          <w:rFonts w:cs="Arial"/>
          <w:b w:val="0"/>
          <w:sz w:val="24"/>
        </w:rPr>
      </w:pPr>
      <w:r w:rsidRPr="007A7073">
        <w:rPr>
          <w:rFonts w:cs="Arial"/>
          <w:b w:val="0"/>
          <w:sz w:val="24"/>
        </w:rPr>
        <w:lastRenderedPageBreak/>
        <w:t>Currently, Clusters are universally targeted on the registering, seeing (one or more times in a year) and engaging with (seeing 3 or more times in a year) children aged 0-4 living in their reach area. As at the end of Q3 2016/17, 98.5% of the District’s 0-4 population (39,992) were registered with a Children’s Centre, 66.9% had been seen one or more times in the previous 12 months and 41.4% had been seen 3 or more times.</w:t>
      </w:r>
    </w:p>
    <w:p w:rsidR="00AC62B8" w:rsidRPr="007A7073" w:rsidRDefault="00AC62B8" w:rsidP="00AC62B8">
      <w:pPr>
        <w:pStyle w:val="BodyText"/>
        <w:rPr>
          <w:rFonts w:eastAsiaTheme="minorHAnsi" w:cs="Arial"/>
          <w:b w:val="0"/>
          <w:sz w:val="24"/>
        </w:rPr>
      </w:pPr>
    </w:p>
    <w:p w:rsidR="00AC62B8" w:rsidRDefault="00AC62B8" w:rsidP="00AC62B8">
      <w:pPr>
        <w:pStyle w:val="BodyText"/>
      </w:pPr>
      <w:r w:rsidRPr="007A7073">
        <w:rPr>
          <w:rFonts w:eastAsiaTheme="minorHAnsi" w:cs="Arial"/>
          <w:b w:val="0"/>
          <w:sz w:val="24"/>
        </w:rPr>
        <w:t xml:space="preserve">In November 2015 the Ofsted inspection of Children’s Centres was put on hold whilst the Department of Education conducts consultation into Children’s Centres and their accountability.  The latest publish statistics, August  2015, shows that </w:t>
      </w:r>
      <w:r w:rsidRPr="007A7073">
        <w:rPr>
          <w:rFonts w:cs="Arial"/>
          <w:b w:val="0"/>
          <w:sz w:val="24"/>
        </w:rPr>
        <w:t>36 of our 41 centres have been inspected by Ofsted.  25 (69%) of our centres have been given an outcome of ‘good’ or ‘outstanding’.  At that point in time  Bradford District (69%) is performing above national (66%) and in line with regional (69%) rates for ‘good’ or ‘outstanding’.</w:t>
      </w:r>
      <w:r>
        <w:rPr>
          <w:rStyle w:val="FootnoteReference"/>
          <w:rFonts w:cs="Arial"/>
          <w:b w:val="0"/>
          <w:sz w:val="24"/>
        </w:rPr>
        <w:footnoteReference w:id="2"/>
      </w:r>
      <w:r w:rsidRPr="007A7073">
        <w:rPr>
          <w:rFonts w:cs="Arial"/>
          <w:b w:val="0"/>
          <w:sz w:val="24"/>
        </w:rPr>
        <w:t xml:space="preserve"> </w:t>
      </w:r>
    </w:p>
    <w:p w:rsidR="00AC62B8" w:rsidRDefault="00AC62B8" w:rsidP="00AC62B8">
      <w:pPr>
        <w:pStyle w:val="Heading1"/>
      </w:pPr>
    </w:p>
    <w:p w:rsidR="00AC62B8" w:rsidRDefault="00AC62B8" w:rsidP="00AC62B8">
      <w:pPr>
        <w:pStyle w:val="Heading1"/>
      </w:pPr>
    </w:p>
    <w:p w:rsidR="00AC62B8" w:rsidRDefault="00AC62B8" w:rsidP="00AC62B8">
      <w:pPr>
        <w:pStyle w:val="Heading1"/>
      </w:pPr>
      <w:r w:rsidRPr="00050079">
        <w:t xml:space="preserve">Free </w:t>
      </w:r>
      <w:r>
        <w:t>15 hour</w:t>
      </w:r>
      <w:r w:rsidRPr="00050079">
        <w:t xml:space="preserve"> entitlement to </w:t>
      </w:r>
      <w:r w:rsidRPr="00C7777C">
        <w:rPr>
          <w:b/>
        </w:rPr>
        <w:t>disadvantaged 2 year olds</w:t>
      </w:r>
      <w:r>
        <w:t>.</w:t>
      </w:r>
    </w:p>
    <w:p w:rsidR="00AC62B8" w:rsidRDefault="00AC62B8" w:rsidP="00AC62B8">
      <w:r>
        <w:t>In January 2016 3,040 2 year olds accessed an early education place.  78% took up their place with a PVI and 22% within the maintained sector.</w:t>
      </w:r>
    </w:p>
    <w:p w:rsidR="00AC62B8" w:rsidRDefault="00AC62B8" w:rsidP="00AC62B8"/>
    <w:p w:rsidR="00AC62B8" w:rsidRDefault="00AC62B8" w:rsidP="00AC62B8">
      <w:r>
        <w:t xml:space="preserve">80% of our 2 year olds are attending settings (PVIs and maintained schools) that Ofsted have judged to be good or outstanding. </w:t>
      </w:r>
      <w:r>
        <w:rPr>
          <w:rStyle w:val="FootnoteReference"/>
        </w:rPr>
        <w:footnoteReference w:id="3"/>
      </w:r>
    </w:p>
    <w:p w:rsidR="00D14DE9" w:rsidRDefault="00D14DE9" w:rsidP="001151EA"/>
    <w:p w:rsidR="00AC62B8" w:rsidRDefault="00AC62B8" w:rsidP="001151EA"/>
    <w:p w:rsidR="00080009" w:rsidRDefault="0001524C" w:rsidP="0001524C">
      <w:pPr>
        <w:pStyle w:val="Heading1"/>
      </w:pPr>
      <w:r w:rsidRPr="00050079">
        <w:t xml:space="preserve">Free </w:t>
      </w:r>
      <w:r>
        <w:t>15 hour</w:t>
      </w:r>
      <w:r w:rsidRPr="00050079">
        <w:t xml:space="preserve"> entitlement to all </w:t>
      </w:r>
      <w:r w:rsidRPr="00C7777C">
        <w:rPr>
          <w:b/>
        </w:rPr>
        <w:t>3 and 4 year olds</w:t>
      </w:r>
    </w:p>
    <w:p w:rsidR="007C6F29" w:rsidRDefault="007C6F29" w:rsidP="007C6F29">
      <w:r>
        <w:t xml:space="preserve">In January 2016, 91% of 3 year olds and 97% of 4 year olds in Bradford accessed an early education place.  The England comparative figures are 93% and 97% respectively.  Overall 62% of 3 year olds and 89% of 4 year olds took up their place in a maintained school nursery class.  38% of 3 year olds took up their place in a private, voluntary and independent sector (PVI) provision, in a day nursery, pre-school playgroup, independent school or with a </w:t>
      </w:r>
      <w:proofErr w:type="spellStart"/>
      <w:r>
        <w:t>childminder</w:t>
      </w:r>
      <w:proofErr w:type="spellEnd"/>
      <w:r>
        <w:t xml:space="preserve">. </w:t>
      </w:r>
    </w:p>
    <w:p w:rsidR="007C6F29" w:rsidRDefault="007C6F29" w:rsidP="007C6F29"/>
    <w:p w:rsidR="007C6F29" w:rsidRDefault="007C6F29" w:rsidP="007C6F29">
      <w:r>
        <w:t>71% of our 3 and 4 year olds are attending settings (PVIs and maintained schools) that Ofsted have judged to be good or outstanding.</w:t>
      </w:r>
    </w:p>
    <w:p w:rsidR="007C6F29" w:rsidRDefault="007C6F29" w:rsidP="007C6F29"/>
    <w:p w:rsidR="007A7073" w:rsidRDefault="007A7073" w:rsidP="007C6F29"/>
    <w:p w:rsidR="007A7073" w:rsidRPr="001563C0" w:rsidRDefault="007A7073" w:rsidP="007A7073">
      <w:pPr>
        <w:pStyle w:val="Heading1"/>
      </w:pPr>
      <w:r>
        <w:t>Childcare</w:t>
      </w:r>
    </w:p>
    <w:p w:rsidR="007A7073" w:rsidRDefault="007A7073" w:rsidP="007A7073">
      <w:r>
        <w:t xml:space="preserve">In </w:t>
      </w:r>
      <w:r w:rsidR="0099748B">
        <w:t>December</w:t>
      </w:r>
      <w:r>
        <w:t xml:space="preserve"> 2016 there were </w:t>
      </w:r>
      <w:r w:rsidR="0099748B">
        <w:t>712</w:t>
      </w:r>
      <w:r>
        <w:t xml:space="preserve"> registered childcare providers across the District (46</w:t>
      </w:r>
      <w:r w:rsidR="0099748B">
        <w:t>5</w:t>
      </w:r>
      <w:r>
        <w:t xml:space="preserve"> </w:t>
      </w:r>
      <w:proofErr w:type="spellStart"/>
      <w:r>
        <w:t>childminders</w:t>
      </w:r>
      <w:proofErr w:type="spellEnd"/>
      <w:r>
        <w:t>, 2</w:t>
      </w:r>
      <w:r w:rsidR="0099748B">
        <w:t>28</w:t>
      </w:r>
      <w:r>
        <w:t xml:space="preserve"> day nurseries and pre-school playgroups, and 19 home </w:t>
      </w:r>
      <w:proofErr w:type="spellStart"/>
      <w:r>
        <w:t>childcarers</w:t>
      </w:r>
      <w:proofErr w:type="spellEnd"/>
      <w:r>
        <w:t>), offering 1</w:t>
      </w:r>
      <w:r w:rsidR="0099748B">
        <w:t>1</w:t>
      </w:r>
      <w:r>
        <w:t>,</w:t>
      </w:r>
      <w:r w:rsidR="0099748B">
        <w:t>766</w:t>
      </w:r>
      <w:r>
        <w:t xml:space="preserve"> registered childcare places. </w:t>
      </w:r>
    </w:p>
    <w:p w:rsidR="00186D14" w:rsidRDefault="00186D14" w:rsidP="007A7073"/>
    <w:p w:rsidR="007A7073" w:rsidRDefault="007A7073" w:rsidP="007A7073">
      <w:r>
        <w:t xml:space="preserve">The % of </w:t>
      </w:r>
      <w:proofErr w:type="spellStart"/>
      <w:r>
        <w:t>childminders</w:t>
      </w:r>
      <w:proofErr w:type="spellEnd"/>
      <w:r>
        <w:t xml:space="preserve"> achieving a good or outstanding Ofsted outcome has been slowing increasing over the past 5 years.  Currently </w:t>
      </w:r>
      <w:r w:rsidR="0099748B">
        <w:t>91</w:t>
      </w:r>
      <w:r>
        <w:t xml:space="preserve">% of our </w:t>
      </w:r>
      <w:proofErr w:type="spellStart"/>
      <w:r>
        <w:t>childminders</w:t>
      </w:r>
      <w:proofErr w:type="spellEnd"/>
      <w:r>
        <w:t xml:space="preserve"> achieve a good or outstanding Ofsted, </w:t>
      </w:r>
      <w:r w:rsidR="0099748B">
        <w:t xml:space="preserve">in line with </w:t>
      </w:r>
      <w:r>
        <w:t>both the reg</w:t>
      </w:r>
      <w:r w:rsidR="00186D14">
        <w:t xml:space="preserve">ional and England figure of </w:t>
      </w:r>
      <w:r w:rsidR="0099748B">
        <w:t>91</w:t>
      </w:r>
      <w:r w:rsidR="00186D14">
        <w:t xml:space="preserve">%. </w:t>
      </w:r>
    </w:p>
    <w:p w:rsidR="00186D14" w:rsidRDefault="00186D14" w:rsidP="007A7073"/>
    <w:p w:rsidR="007A7073" w:rsidRDefault="007A7073" w:rsidP="007A7073">
      <w:r>
        <w:t>The percentage of group based settings achieving a good or outstanding Ofsted outcome has been increasing over the past 5 years.  Currently 9</w:t>
      </w:r>
      <w:r w:rsidR="0099748B">
        <w:t>4</w:t>
      </w:r>
      <w:r>
        <w:t>% of our group-based settings achieve a good or outstanding Ofsted compared to a regional figure of 9</w:t>
      </w:r>
      <w:r w:rsidR="0099748B">
        <w:t>6</w:t>
      </w:r>
      <w:r>
        <w:t xml:space="preserve">% and England figure of 95%. </w:t>
      </w:r>
      <w:r w:rsidR="00F35AA5">
        <w:rPr>
          <w:rStyle w:val="FootnoteReference"/>
        </w:rPr>
        <w:footnoteReference w:id="4"/>
      </w:r>
    </w:p>
    <w:p w:rsidR="00701863" w:rsidRDefault="00701863" w:rsidP="00131F0B"/>
    <w:p w:rsidR="00131F0B" w:rsidRDefault="00131F0B" w:rsidP="00131F0B"/>
    <w:p w:rsidR="00131F0B" w:rsidRDefault="00131F0B" w:rsidP="00131F0B"/>
    <w:sectPr w:rsidR="00131F0B" w:rsidSect="00856B71">
      <w:type w:val="continuous"/>
      <w:pgSz w:w="11906" w:h="16838"/>
      <w:pgMar w:top="-582" w:right="991" w:bottom="851" w:left="851" w:header="708"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2B8" w:rsidRDefault="00AC62B8" w:rsidP="006863D0">
      <w:r>
        <w:separator/>
      </w:r>
    </w:p>
  </w:endnote>
  <w:endnote w:type="continuationSeparator" w:id="0">
    <w:p w:rsidR="00AC62B8" w:rsidRDefault="00AC62B8" w:rsidP="0068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508945"/>
      <w:docPartObj>
        <w:docPartGallery w:val="Page Numbers (Bottom of Page)"/>
        <w:docPartUnique/>
      </w:docPartObj>
    </w:sdtPr>
    <w:sdtEndPr/>
    <w:sdtContent>
      <w:sdt>
        <w:sdtPr>
          <w:id w:val="-1768309132"/>
          <w:docPartObj>
            <w:docPartGallery w:val="Page Numbers (Top of Page)"/>
            <w:docPartUnique/>
          </w:docPartObj>
        </w:sdtPr>
        <w:sdtEndPr/>
        <w:sdtContent>
          <w:p w:rsidR="00AC62B8" w:rsidRDefault="00AC62B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E674D">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674D">
              <w:rPr>
                <w:b/>
                <w:bCs/>
                <w:noProof/>
              </w:rPr>
              <w:t>3</w:t>
            </w:r>
            <w:r>
              <w:rPr>
                <w:b/>
                <w:bCs/>
                <w:szCs w:val="24"/>
              </w:rPr>
              <w:fldChar w:fldCharType="end"/>
            </w:r>
          </w:p>
        </w:sdtContent>
      </w:sdt>
    </w:sdtContent>
  </w:sdt>
  <w:p w:rsidR="00AC62B8" w:rsidRDefault="00AC6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23276"/>
      <w:docPartObj>
        <w:docPartGallery w:val="Page Numbers (Bottom of Page)"/>
        <w:docPartUnique/>
      </w:docPartObj>
    </w:sdtPr>
    <w:sdtEndPr/>
    <w:sdtContent>
      <w:sdt>
        <w:sdtPr>
          <w:id w:val="-1669238322"/>
          <w:docPartObj>
            <w:docPartGallery w:val="Page Numbers (Top of Page)"/>
            <w:docPartUnique/>
          </w:docPartObj>
        </w:sdtPr>
        <w:sdtEndPr/>
        <w:sdtContent>
          <w:p w:rsidR="00AC62B8" w:rsidRDefault="00AC62B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AC62B8" w:rsidRPr="0014797B" w:rsidRDefault="00AC62B8" w:rsidP="00147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2B8" w:rsidRDefault="00AC62B8" w:rsidP="006863D0">
      <w:r>
        <w:separator/>
      </w:r>
    </w:p>
  </w:footnote>
  <w:footnote w:type="continuationSeparator" w:id="0">
    <w:p w:rsidR="00AC62B8" w:rsidRDefault="00AC62B8" w:rsidP="006863D0">
      <w:r>
        <w:continuationSeparator/>
      </w:r>
    </w:p>
  </w:footnote>
  <w:footnote w:id="1">
    <w:p w:rsidR="00AC62B8" w:rsidRDefault="00AC62B8">
      <w:pPr>
        <w:pStyle w:val="FootnoteText"/>
      </w:pPr>
      <w:r>
        <w:rPr>
          <w:rStyle w:val="FootnoteReference"/>
        </w:rPr>
        <w:footnoteRef/>
      </w:r>
      <w:r w:rsidRPr="00F35AA5">
        <w:t xml:space="preserve"> </w:t>
      </w:r>
      <w:hyperlink r:id="rId1" w:history="1">
        <w:r w:rsidRPr="00F35AA5">
          <w:rPr>
            <w:rStyle w:val="Hyperlink"/>
            <w:rFonts w:cs="Arial"/>
            <w:b/>
          </w:rPr>
          <w:t>https://www.bradford.gov.uk/children-young-people-and-families/reports-policies-projects-and-strategies/integrated-early-years-strategy/</w:t>
        </w:r>
      </w:hyperlink>
    </w:p>
  </w:footnote>
  <w:footnote w:id="2">
    <w:p w:rsidR="00AC62B8" w:rsidRDefault="00AC62B8" w:rsidP="001B6315">
      <w:pPr>
        <w:pStyle w:val="BodyText"/>
      </w:pPr>
      <w:r w:rsidRPr="00F35AA5">
        <w:rPr>
          <w:rStyle w:val="FootnoteReference"/>
          <w:b w:val="0"/>
          <w:sz w:val="20"/>
          <w:szCs w:val="20"/>
        </w:rPr>
        <w:footnoteRef/>
      </w:r>
      <w:r w:rsidRPr="00F35AA5">
        <w:rPr>
          <w:b w:val="0"/>
          <w:sz w:val="20"/>
          <w:szCs w:val="20"/>
        </w:rPr>
        <w:t xml:space="preserve"> </w:t>
      </w:r>
      <w:r w:rsidRPr="00F35AA5">
        <w:rPr>
          <w:rFonts w:cs="Arial"/>
          <w:b w:val="0"/>
          <w:sz w:val="20"/>
          <w:szCs w:val="20"/>
        </w:rPr>
        <w:t>Children's centres inspection outcomes April to August 2015</w:t>
      </w:r>
    </w:p>
  </w:footnote>
  <w:footnote w:id="3">
    <w:p w:rsidR="00AC62B8" w:rsidRDefault="00AC62B8" w:rsidP="00AC62B8">
      <w:pPr>
        <w:pStyle w:val="FootnoteText"/>
      </w:pPr>
      <w:r>
        <w:rPr>
          <w:rStyle w:val="FootnoteReference"/>
        </w:rPr>
        <w:footnoteRef/>
      </w:r>
      <w:r>
        <w:t xml:space="preserve"> </w:t>
      </w:r>
      <w:proofErr w:type="spellStart"/>
      <w:r>
        <w:t>DfE</w:t>
      </w:r>
      <w:proofErr w:type="spellEnd"/>
      <w:r>
        <w:t xml:space="preserve"> Provision for Children Under Five Years of Age in England - January 2016</w:t>
      </w:r>
    </w:p>
  </w:footnote>
  <w:footnote w:id="4">
    <w:p w:rsidR="00AC62B8" w:rsidRDefault="00AC62B8">
      <w:pPr>
        <w:pStyle w:val="FootnoteText"/>
      </w:pPr>
      <w:r>
        <w:rPr>
          <w:rStyle w:val="FootnoteReference"/>
        </w:rPr>
        <w:footnoteRef/>
      </w:r>
      <w:r w:rsidRPr="00F35AA5">
        <w:t xml:space="preserve"> GOV.UK Childcare providers and inspections – </w:t>
      </w:r>
      <w:r>
        <w:t>December</w:t>
      </w:r>
      <w:r w:rsidRPr="00F35AA5">
        <w:t xml:space="preserv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B8" w:rsidRDefault="00AC62B8">
    <w:pPr>
      <w:pStyle w:val="Header"/>
    </w:pPr>
  </w:p>
  <w:p w:rsidR="00AC62B8" w:rsidRDefault="00AC6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199"/>
    <w:multiLevelType w:val="multilevel"/>
    <w:tmpl w:val="95D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679BD"/>
    <w:multiLevelType w:val="hybridMultilevel"/>
    <w:tmpl w:val="2E18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D46DFD"/>
    <w:multiLevelType w:val="hybridMultilevel"/>
    <w:tmpl w:val="9880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D0"/>
    <w:rsid w:val="0001524C"/>
    <w:rsid w:val="00080009"/>
    <w:rsid w:val="000C1BE6"/>
    <w:rsid w:val="001006F3"/>
    <w:rsid w:val="001151EA"/>
    <w:rsid w:val="00131F0B"/>
    <w:rsid w:val="0014797B"/>
    <w:rsid w:val="00186D14"/>
    <w:rsid w:val="001B6315"/>
    <w:rsid w:val="00255C22"/>
    <w:rsid w:val="0028448E"/>
    <w:rsid w:val="002E7C11"/>
    <w:rsid w:val="002F36C6"/>
    <w:rsid w:val="00330D01"/>
    <w:rsid w:val="003447CC"/>
    <w:rsid w:val="0035190D"/>
    <w:rsid w:val="00383B71"/>
    <w:rsid w:val="003D3F4D"/>
    <w:rsid w:val="003E674D"/>
    <w:rsid w:val="003F6B7C"/>
    <w:rsid w:val="004541D8"/>
    <w:rsid w:val="00484A05"/>
    <w:rsid w:val="004C5CCA"/>
    <w:rsid w:val="004E41D1"/>
    <w:rsid w:val="004F1573"/>
    <w:rsid w:val="005435AD"/>
    <w:rsid w:val="00544F70"/>
    <w:rsid w:val="005664A4"/>
    <w:rsid w:val="005B3401"/>
    <w:rsid w:val="006863D0"/>
    <w:rsid w:val="00686EDC"/>
    <w:rsid w:val="006D4438"/>
    <w:rsid w:val="00701863"/>
    <w:rsid w:val="00714616"/>
    <w:rsid w:val="007A0C6F"/>
    <w:rsid w:val="007A1DD5"/>
    <w:rsid w:val="007A7073"/>
    <w:rsid w:val="007C391E"/>
    <w:rsid w:val="007C6F29"/>
    <w:rsid w:val="008015ED"/>
    <w:rsid w:val="00856B71"/>
    <w:rsid w:val="008B1D5F"/>
    <w:rsid w:val="008C5F3E"/>
    <w:rsid w:val="008E37BE"/>
    <w:rsid w:val="00905BCA"/>
    <w:rsid w:val="00920C33"/>
    <w:rsid w:val="00965063"/>
    <w:rsid w:val="0099748B"/>
    <w:rsid w:val="009D73B1"/>
    <w:rsid w:val="00A15A07"/>
    <w:rsid w:val="00A55735"/>
    <w:rsid w:val="00A84577"/>
    <w:rsid w:val="00A86754"/>
    <w:rsid w:val="00AC5821"/>
    <w:rsid w:val="00AC62B8"/>
    <w:rsid w:val="00AE3812"/>
    <w:rsid w:val="00B14426"/>
    <w:rsid w:val="00B16E9A"/>
    <w:rsid w:val="00B614B3"/>
    <w:rsid w:val="00B727EF"/>
    <w:rsid w:val="00BA4041"/>
    <w:rsid w:val="00BD073A"/>
    <w:rsid w:val="00BE4475"/>
    <w:rsid w:val="00BE744C"/>
    <w:rsid w:val="00CA49C9"/>
    <w:rsid w:val="00CA54F8"/>
    <w:rsid w:val="00CA6F39"/>
    <w:rsid w:val="00CF75AD"/>
    <w:rsid w:val="00D14DE9"/>
    <w:rsid w:val="00D6213E"/>
    <w:rsid w:val="00D97E43"/>
    <w:rsid w:val="00DF2CD4"/>
    <w:rsid w:val="00E0230B"/>
    <w:rsid w:val="00E1226B"/>
    <w:rsid w:val="00E96835"/>
    <w:rsid w:val="00ED0484"/>
    <w:rsid w:val="00F02BAD"/>
    <w:rsid w:val="00F20A8C"/>
    <w:rsid w:val="00F2216A"/>
    <w:rsid w:val="00F35AA5"/>
    <w:rsid w:val="00F86A02"/>
    <w:rsid w:val="00F95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0B"/>
    <w:rPr>
      <w:rFonts w:ascii="Arial" w:hAnsi="Arial"/>
      <w:sz w:val="24"/>
    </w:rPr>
  </w:style>
  <w:style w:type="paragraph" w:styleId="Heading1">
    <w:name w:val="heading 1"/>
    <w:basedOn w:val="Normal"/>
    <w:next w:val="Normal"/>
    <w:link w:val="Heading1Char"/>
    <w:uiPriority w:val="9"/>
    <w:qFormat/>
    <w:rsid w:val="00E96835"/>
    <w:pPr>
      <w:keepNext/>
      <w:keepLines/>
      <w:outlineLvl w:val="0"/>
    </w:pPr>
    <w:rPr>
      <w:rFonts w:eastAsiaTheme="majorEastAsia"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E1226B"/>
    <w:pPr>
      <w:keepNext/>
      <w:keepLines/>
      <w:spacing w:before="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1226B"/>
    <w:pPr>
      <w:keepNext/>
      <w:keepLines/>
      <w:spacing w:before="20"/>
      <w:outlineLvl w:val="2"/>
    </w:pPr>
    <w:rPr>
      <w:rFonts w:asciiTheme="majorHAnsi" w:eastAsiaTheme="majorEastAsia" w:hAnsiTheme="majorHAnsi" w:cstheme="majorBidi"/>
      <w:bCs/>
      <w:color w:val="1F497D" w:themeColor="text2"/>
      <w:spacing w:val="14"/>
    </w:rPr>
  </w:style>
  <w:style w:type="paragraph" w:styleId="Heading4">
    <w:name w:val="heading 4"/>
    <w:basedOn w:val="Normal"/>
    <w:next w:val="Normal"/>
    <w:link w:val="Heading4Char"/>
    <w:uiPriority w:val="9"/>
    <w:semiHidden/>
    <w:unhideWhenUsed/>
    <w:qFormat/>
    <w:rsid w:val="00E1226B"/>
    <w:pPr>
      <w:keepNext/>
      <w:keepLines/>
      <w:spacing w:before="20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E1226B"/>
    <w:pPr>
      <w:keepNext/>
      <w:keepLines/>
      <w:spacing w:before="20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1226B"/>
    <w:pPr>
      <w:keepNext/>
      <w:keepLines/>
      <w:spacing w:before="20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1226B"/>
    <w:pPr>
      <w:keepNext/>
      <w:keepLines/>
      <w:spacing w:before="20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1226B"/>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226B"/>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63D0"/>
    <w:pPr>
      <w:tabs>
        <w:tab w:val="center" w:pos="4513"/>
        <w:tab w:val="right" w:pos="9026"/>
      </w:tabs>
    </w:pPr>
  </w:style>
  <w:style w:type="character" w:customStyle="1" w:styleId="HeaderChar">
    <w:name w:val="Header Char"/>
    <w:basedOn w:val="DefaultParagraphFont"/>
    <w:link w:val="Header"/>
    <w:uiPriority w:val="99"/>
    <w:rsid w:val="006863D0"/>
  </w:style>
  <w:style w:type="paragraph" w:styleId="Footer">
    <w:name w:val="footer"/>
    <w:basedOn w:val="Normal"/>
    <w:link w:val="FooterChar"/>
    <w:uiPriority w:val="99"/>
    <w:unhideWhenUsed/>
    <w:rsid w:val="006863D0"/>
    <w:pPr>
      <w:tabs>
        <w:tab w:val="center" w:pos="4513"/>
        <w:tab w:val="right" w:pos="9026"/>
      </w:tabs>
    </w:pPr>
  </w:style>
  <w:style w:type="character" w:customStyle="1" w:styleId="FooterChar">
    <w:name w:val="Footer Char"/>
    <w:basedOn w:val="DefaultParagraphFont"/>
    <w:link w:val="Footer"/>
    <w:uiPriority w:val="99"/>
    <w:rsid w:val="006863D0"/>
  </w:style>
  <w:style w:type="paragraph" w:styleId="BalloonText">
    <w:name w:val="Balloon Text"/>
    <w:basedOn w:val="Normal"/>
    <w:link w:val="BalloonTextChar"/>
    <w:uiPriority w:val="99"/>
    <w:semiHidden/>
    <w:unhideWhenUsed/>
    <w:rsid w:val="006863D0"/>
    <w:rPr>
      <w:rFonts w:ascii="Tahoma" w:hAnsi="Tahoma" w:cs="Tahoma"/>
      <w:sz w:val="16"/>
      <w:szCs w:val="16"/>
    </w:rPr>
  </w:style>
  <w:style w:type="character" w:customStyle="1" w:styleId="BalloonTextChar">
    <w:name w:val="Balloon Text Char"/>
    <w:basedOn w:val="DefaultParagraphFont"/>
    <w:link w:val="BalloonText"/>
    <w:uiPriority w:val="99"/>
    <w:semiHidden/>
    <w:rsid w:val="006863D0"/>
    <w:rPr>
      <w:rFonts w:ascii="Tahoma" w:hAnsi="Tahoma" w:cs="Tahoma"/>
      <w:sz w:val="16"/>
      <w:szCs w:val="16"/>
    </w:rPr>
  </w:style>
  <w:style w:type="character" w:styleId="Hyperlink">
    <w:name w:val="Hyperlink"/>
    <w:basedOn w:val="DefaultParagraphFont"/>
    <w:uiPriority w:val="99"/>
    <w:unhideWhenUsed/>
    <w:rsid w:val="003447CC"/>
    <w:rPr>
      <w:color w:val="0000FF" w:themeColor="hyperlink"/>
      <w:u w:val="single"/>
    </w:rPr>
  </w:style>
  <w:style w:type="paragraph" w:styleId="ListParagraph">
    <w:name w:val="List Paragraph"/>
    <w:basedOn w:val="Normal"/>
    <w:uiPriority w:val="34"/>
    <w:qFormat/>
    <w:rsid w:val="00E1226B"/>
    <w:pPr>
      <w:ind w:left="720" w:hanging="288"/>
      <w:contextualSpacing/>
    </w:pPr>
    <w:rPr>
      <w:color w:val="1F497D" w:themeColor="text2"/>
    </w:rPr>
  </w:style>
  <w:style w:type="paragraph" w:styleId="Title">
    <w:name w:val="Title"/>
    <w:basedOn w:val="Normal"/>
    <w:next w:val="Normal"/>
    <w:link w:val="TitleChar"/>
    <w:uiPriority w:val="10"/>
    <w:qFormat/>
    <w:rsid w:val="00E96835"/>
    <w:pPr>
      <w:spacing w:after="120"/>
      <w:contextualSpacing/>
    </w:pPr>
    <w:rPr>
      <w:rFonts w:eastAsiaTheme="majorEastAsia" w:cstheme="majorBidi"/>
      <w:color w:val="1F497D" w:themeColor="text2"/>
      <w:spacing w:val="30"/>
      <w:kern w:val="28"/>
      <w:sz w:val="96"/>
      <w:szCs w:val="52"/>
    </w:rPr>
  </w:style>
  <w:style w:type="character" w:customStyle="1" w:styleId="TitleChar">
    <w:name w:val="Title Char"/>
    <w:basedOn w:val="DefaultParagraphFont"/>
    <w:link w:val="Title"/>
    <w:uiPriority w:val="10"/>
    <w:rsid w:val="00E96835"/>
    <w:rPr>
      <w:rFonts w:ascii="Arial" w:eastAsiaTheme="majorEastAsia" w:hAnsi="Arial"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E96835"/>
    <w:rPr>
      <w:rFonts w:ascii="Arial" w:eastAsiaTheme="majorEastAsia" w:hAnsi="Arial"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E1226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E1226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1226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1226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1226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1226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226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B14426"/>
    <w:rPr>
      <w:rFonts w:eastAsiaTheme="minorEastAsia"/>
      <w:bCs/>
      <w:spacing w:val="6"/>
      <w:sz w:val="22"/>
      <w:szCs w:val="18"/>
      <w:lang w:bidi="hi-IN"/>
    </w:rPr>
  </w:style>
  <w:style w:type="paragraph" w:styleId="Subtitle">
    <w:name w:val="Subtitle"/>
    <w:basedOn w:val="Normal"/>
    <w:next w:val="Normal"/>
    <w:link w:val="SubtitleChar"/>
    <w:uiPriority w:val="11"/>
    <w:qFormat/>
    <w:rsid w:val="00E1226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E1226B"/>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E1226B"/>
    <w:rPr>
      <w:b w:val="0"/>
      <w:bCs/>
      <w:i/>
      <w:color w:val="1F497D" w:themeColor="text2"/>
    </w:rPr>
  </w:style>
  <w:style w:type="character" w:styleId="Emphasis">
    <w:name w:val="Emphasis"/>
    <w:basedOn w:val="DefaultParagraphFont"/>
    <w:uiPriority w:val="20"/>
    <w:qFormat/>
    <w:rsid w:val="00E1226B"/>
    <w:rPr>
      <w:b/>
      <w:i/>
      <w:iCs/>
    </w:rPr>
  </w:style>
  <w:style w:type="paragraph" w:styleId="NoSpacing">
    <w:name w:val="No Spacing"/>
    <w:link w:val="NoSpacingChar"/>
    <w:uiPriority w:val="1"/>
    <w:qFormat/>
    <w:rsid w:val="00E1226B"/>
  </w:style>
  <w:style w:type="character" w:customStyle="1" w:styleId="NoSpacingChar">
    <w:name w:val="No Spacing Char"/>
    <w:basedOn w:val="DefaultParagraphFont"/>
    <w:link w:val="NoSpacing"/>
    <w:uiPriority w:val="1"/>
    <w:rsid w:val="00E1226B"/>
  </w:style>
  <w:style w:type="paragraph" w:styleId="Quote">
    <w:name w:val="Quote"/>
    <w:basedOn w:val="Normal"/>
    <w:next w:val="Normal"/>
    <w:link w:val="QuoteChar"/>
    <w:uiPriority w:val="29"/>
    <w:qFormat/>
    <w:rsid w:val="00E1226B"/>
    <w:pPr>
      <w:spacing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E1226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E1226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E1226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E1226B"/>
    <w:rPr>
      <w:i/>
      <w:iCs/>
      <w:color w:val="000000"/>
    </w:rPr>
  </w:style>
  <w:style w:type="character" w:styleId="IntenseEmphasis">
    <w:name w:val="Intense Emphasis"/>
    <w:basedOn w:val="DefaultParagraphFont"/>
    <w:uiPriority w:val="21"/>
    <w:qFormat/>
    <w:rsid w:val="00E1226B"/>
    <w:rPr>
      <w:b/>
      <w:bCs/>
      <w:i/>
      <w:iCs/>
      <w:color w:val="4F81BD" w:themeColor="accent1"/>
    </w:rPr>
  </w:style>
  <w:style w:type="character" w:styleId="SubtleReference">
    <w:name w:val="Subtle Reference"/>
    <w:basedOn w:val="DefaultParagraphFont"/>
    <w:uiPriority w:val="31"/>
    <w:qFormat/>
    <w:rsid w:val="00E1226B"/>
    <w:rPr>
      <w:smallCaps/>
      <w:color w:val="000000"/>
      <w:u w:val="single"/>
    </w:rPr>
  </w:style>
  <w:style w:type="character" w:styleId="IntenseReference">
    <w:name w:val="Intense Reference"/>
    <w:basedOn w:val="DefaultParagraphFont"/>
    <w:uiPriority w:val="32"/>
    <w:qFormat/>
    <w:rsid w:val="00E1226B"/>
    <w:rPr>
      <w:b w:val="0"/>
      <w:bCs/>
      <w:smallCaps/>
      <w:color w:val="4F81BD" w:themeColor="accent1"/>
      <w:spacing w:val="5"/>
      <w:u w:val="single"/>
    </w:rPr>
  </w:style>
  <w:style w:type="character" w:styleId="BookTitle">
    <w:name w:val="Book Title"/>
    <w:basedOn w:val="DefaultParagraphFont"/>
    <w:uiPriority w:val="33"/>
    <w:qFormat/>
    <w:rsid w:val="00E1226B"/>
    <w:rPr>
      <w:b/>
      <w:bCs/>
      <w:caps/>
      <w:smallCaps w:val="0"/>
      <w:color w:val="1F497D" w:themeColor="text2"/>
      <w:spacing w:val="10"/>
    </w:rPr>
  </w:style>
  <w:style w:type="paragraph" w:styleId="TOCHeading">
    <w:name w:val="TOC Heading"/>
    <w:basedOn w:val="Heading1"/>
    <w:next w:val="Normal"/>
    <w:uiPriority w:val="39"/>
    <w:semiHidden/>
    <w:unhideWhenUsed/>
    <w:qFormat/>
    <w:rsid w:val="00E1226B"/>
    <w:pPr>
      <w:spacing w:before="480" w:line="264" w:lineRule="auto"/>
      <w:outlineLvl w:val="9"/>
    </w:pPr>
    <w:rPr>
      <w:b/>
    </w:rPr>
  </w:style>
  <w:style w:type="paragraph" w:styleId="BodyText">
    <w:name w:val="Body Text"/>
    <w:basedOn w:val="Normal"/>
    <w:link w:val="BodyTextChar"/>
    <w:rsid w:val="007A7073"/>
    <w:rPr>
      <w:rFonts w:eastAsia="Times New Roman" w:cs="Times New Roman"/>
      <w:b/>
      <w:sz w:val="32"/>
      <w:szCs w:val="24"/>
    </w:rPr>
  </w:style>
  <w:style w:type="character" w:customStyle="1" w:styleId="BodyTextChar">
    <w:name w:val="Body Text Char"/>
    <w:basedOn w:val="DefaultParagraphFont"/>
    <w:link w:val="BodyText"/>
    <w:rsid w:val="007A7073"/>
    <w:rPr>
      <w:rFonts w:ascii="Arial" w:eastAsia="Times New Roman" w:hAnsi="Arial" w:cs="Times New Roman"/>
      <w:b/>
      <w:sz w:val="32"/>
      <w:szCs w:val="24"/>
    </w:rPr>
  </w:style>
  <w:style w:type="paragraph" w:styleId="NormalWeb">
    <w:name w:val="Normal (Web)"/>
    <w:basedOn w:val="Normal"/>
    <w:uiPriority w:val="99"/>
    <w:semiHidden/>
    <w:unhideWhenUsed/>
    <w:rsid w:val="007A7073"/>
    <w:pPr>
      <w:spacing w:before="100" w:beforeAutospacing="1" w:after="100" w:afterAutospacing="1"/>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3D3F4D"/>
    <w:rPr>
      <w:color w:val="800080" w:themeColor="followedHyperlink"/>
      <w:u w:val="single"/>
    </w:rPr>
  </w:style>
  <w:style w:type="paragraph" w:styleId="FootnoteText">
    <w:name w:val="footnote text"/>
    <w:basedOn w:val="Normal"/>
    <w:link w:val="FootnoteTextChar"/>
    <w:uiPriority w:val="99"/>
    <w:semiHidden/>
    <w:unhideWhenUsed/>
    <w:rsid w:val="00186D14"/>
    <w:rPr>
      <w:sz w:val="20"/>
      <w:szCs w:val="20"/>
    </w:rPr>
  </w:style>
  <w:style w:type="character" w:customStyle="1" w:styleId="FootnoteTextChar">
    <w:name w:val="Footnote Text Char"/>
    <w:basedOn w:val="DefaultParagraphFont"/>
    <w:link w:val="FootnoteText"/>
    <w:uiPriority w:val="99"/>
    <w:semiHidden/>
    <w:rsid w:val="00186D14"/>
    <w:rPr>
      <w:rFonts w:ascii="Arial" w:hAnsi="Arial"/>
      <w:sz w:val="20"/>
      <w:szCs w:val="20"/>
    </w:rPr>
  </w:style>
  <w:style w:type="character" w:styleId="FootnoteReference">
    <w:name w:val="footnote reference"/>
    <w:basedOn w:val="DefaultParagraphFont"/>
    <w:uiPriority w:val="99"/>
    <w:semiHidden/>
    <w:unhideWhenUsed/>
    <w:rsid w:val="00186D14"/>
    <w:rPr>
      <w:vertAlign w:val="superscript"/>
    </w:rPr>
  </w:style>
  <w:style w:type="paragraph" w:styleId="EndnoteText">
    <w:name w:val="endnote text"/>
    <w:basedOn w:val="Normal"/>
    <w:link w:val="EndnoteTextChar"/>
    <w:uiPriority w:val="99"/>
    <w:semiHidden/>
    <w:unhideWhenUsed/>
    <w:rsid w:val="00F35AA5"/>
    <w:rPr>
      <w:sz w:val="20"/>
      <w:szCs w:val="20"/>
    </w:rPr>
  </w:style>
  <w:style w:type="character" w:customStyle="1" w:styleId="EndnoteTextChar">
    <w:name w:val="Endnote Text Char"/>
    <w:basedOn w:val="DefaultParagraphFont"/>
    <w:link w:val="EndnoteText"/>
    <w:uiPriority w:val="99"/>
    <w:semiHidden/>
    <w:rsid w:val="00F35AA5"/>
    <w:rPr>
      <w:rFonts w:ascii="Arial" w:hAnsi="Arial"/>
      <w:sz w:val="20"/>
      <w:szCs w:val="20"/>
    </w:rPr>
  </w:style>
  <w:style w:type="character" w:styleId="EndnoteReference">
    <w:name w:val="endnote reference"/>
    <w:basedOn w:val="DefaultParagraphFont"/>
    <w:uiPriority w:val="99"/>
    <w:semiHidden/>
    <w:unhideWhenUsed/>
    <w:rsid w:val="00F35A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0B"/>
    <w:rPr>
      <w:rFonts w:ascii="Arial" w:hAnsi="Arial"/>
      <w:sz w:val="24"/>
    </w:rPr>
  </w:style>
  <w:style w:type="paragraph" w:styleId="Heading1">
    <w:name w:val="heading 1"/>
    <w:basedOn w:val="Normal"/>
    <w:next w:val="Normal"/>
    <w:link w:val="Heading1Char"/>
    <w:uiPriority w:val="9"/>
    <w:qFormat/>
    <w:rsid w:val="00E96835"/>
    <w:pPr>
      <w:keepNext/>
      <w:keepLines/>
      <w:outlineLvl w:val="0"/>
    </w:pPr>
    <w:rPr>
      <w:rFonts w:eastAsiaTheme="majorEastAsia"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E1226B"/>
    <w:pPr>
      <w:keepNext/>
      <w:keepLines/>
      <w:spacing w:before="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1226B"/>
    <w:pPr>
      <w:keepNext/>
      <w:keepLines/>
      <w:spacing w:before="20"/>
      <w:outlineLvl w:val="2"/>
    </w:pPr>
    <w:rPr>
      <w:rFonts w:asciiTheme="majorHAnsi" w:eastAsiaTheme="majorEastAsia" w:hAnsiTheme="majorHAnsi" w:cstheme="majorBidi"/>
      <w:bCs/>
      <w:color w:val="1F497D" w:themeColor="text2"/>
      <w:spacing w:val="14"/>
    </w:rPr>
  </w:style>
  <w:style w:type="paragraph" w:styleId="Heading4">
    <w:name w:val="heading 4"/>
    <w:basedOn w:val="Normal"/>
    <w:next w:val="Normal"/>
    <w:link w:val="Heading4Char"/>
    <w:uiPriority w:val="9"/>
    <w:semiHidden/>
    <w:unhideWhenUsed/>
    <w:qFormat/>
    <w:rsid w:val="00E1226B"/>
    <w:pPr>
      <w:keepNext/>
      <w:keepLines/>
      <w:spacing w:before="20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E1226B"/>
    <w:pPr>
      <w:keepNext/>
      <w:keepLines/>
      <w:spacing w:before="20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1226B"/>
    <w:pPr>
      <w:keepNext/>
      <w:keepLines/>
      <w:spacing w:before="20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1226B"/>
    <w:pPr>
      <w:keepNext/>
      <w:keepLines/>
      <w:spacing w:before="20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1226B"/>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226B"/>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63D0"/>
    <w:pPr>
      <w:tabs>
        <w:tab w:val="center" w:pos="4513"/>
        <w:tab w:val="right" w:pos="9026"/>
      </w:tabs>
    </w:pPr>
  </w:style>
  <w:style w:type="character" w:customStyle="1" w:styleId="HeaderChar">
    <w:name w:val="Header Char"/>
    <w:basedOn w:val="DefaultParagraphFont"/>
    <w:link w:val="Header"/>
    <w:uiPriority w:val="99"/>
    <w:rsid w:val="006863D0"/>
  </w:style>
  <w:style w:type="paragraph" w:styleId="Footer">
    <w:name w:val="footer"/>
    <w:basedOn w:val="Normal"/>
    <w:link w:val="FooterChar"/>
    <w:uiPriority w:val="99"/>
    <w:unhideWhenUsed/>
    <w:rsid w:val="006863D0"/>
    <w:pPr>
      <w:tabs>
        <w:tab w:val="center" w:pos="4513"/>
        <w:tab w:val="right" w:pos="9026"/>
      </w:tabs>
    </w:pPr>
  </w:style>
  <w:style w:type="character" w:customStyle="1" w:styleId="FooterChar">
    <w:name w:val="Footer Char"/>
    <w:basedOn w:val="DefaultParagraphFont"/>
    <w:link w:val="Footer"/>
    <w:uiPriority w:val="99"/>
    <w:rsid w:val="006863D0"/>
  </w:style>
  <w:style w:type="paragraph" w:styleId="BalloonText">
    <w:name w:val="Balloon Text"/>
    <w:basedOn w:val="Normal"/>
    <w:link w:val="BalloonTextChar"/>
    <w:uiPriority w:val="99"/>
    <w:semiHidden/>
    <w:unhideWhenUsed/>
    <w:rsid w:val="006863D0"/>
    <w:rPr>
      <w:rFonts w:ascii="Tahoma" w:hAnsi="Tahoma" w:cs="Tahoma"/>
      <w:sz w:val="16"/>
      <w:szCs w:val="16"/>
    </w:rPr>
  </w:style>
  <w:style w:type="character" w:customStyle="1" w:styleId="BalloonTextChar">
    <w:name w:val="Balloon Text Char"/>
    <w:basedOn w:val="DefaultParagraphFont"/>
    <w:link w:val="BalloonText"/>
    <w:uiPriority w:val="99"/>
    <w:semiHidden/>
    <w:rsid w:val="006863D0"/>
    <w:rPr>
      <w:rFonts w:ascii="Tahoma" w:hAnsi="Tahoma" w:cs="Tahoma"/>
      <w:sz w:val="16"/>
      <w:szCs w:val="16"/>
    </w:rPr>
  </w:style>
  <w:style w:type="character" w:styleId="Hyperlink">
    <w:name w:val="Hyperlink"/>
    <w:basedOn w:val="DefaultParagraphFont"/>
    <w:uiPriority w:val="99"/>
    <w:unhideWhenUsed/>
    <w:rsid w:val="003447CC"/>
    <w:rPr>
      <w:color w:val="0000FF" w:themeColor="hyperlink"/>
      <w:u w:val="single"/>
    </w:rPr>
  </w:style>
  <w:style w:type="paragraph" w:styleId="ListParagraph">
    <w:name w:val="List Paragraph"/>
    <w:basedOn w:val="Normal"/>
    <w:uiPriority w:val="34"/>
    <w:qFormat/>
    <w:rsid w:val="00E1226B"/>
    <w:pPr>
      <w:ind w:left="720" w:hanging="288"/>
      <w:contextualSpacing/>
    </w:pPr>
    <w:rPr>
      <w:color w:val="1F497D" w:themeColor="text2"/>
    </w:rPr>
  </w:style>
  <w:style w:type="paragraph" w:styleId="Title">
    <w:name w:val="Title"/>
    <w:basedOn w:val="Normal"/>
    <w:next w:val="Normal"/>
    <w:link w:val="TitleChar"/>
    <w:uiPriority w:val="10"/>
    <w:qFormat/>
    <w:rsid w:val="00E96835"/>
    <w:pPr>
      <w:spacing w:after="120"/>
      <w:contextualSpacing/>
    </w:pPr>
    <w:rPr>
      <w:rFonts w:eastAsiaTheme="majorEastAsia" w:cstheme="majorBidi"/>
      <w:color w:val="1F497D" w:themeColor="text2"/>
      <w:spacing w:val="30"/>
      <w:kern w:val="28"/>
      <w:sz w:val="96"/>
      <w:szCs w:val="52"/>
    </w:rPr>
  </w:style>
  <w:style w:type="character" w:customStyle="1" w:styleId="TitleChar">
    <w:name w:val="Title Char"/>
    <w:basedOn w:val="DefaultParagraphFont"/>
    <w:link w:val="Title"/>
    <w:uiPriority w:val="10"/>
    <w:rsid w:val="00E96835"/>
    <w:rPr>
      <w:rFonts w:ascii="Arial" w:eastAsiaTheme="majorEastAsia" w:hAnsi="Arial"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E96835"/>
    <w:rPr>
      <w:rFonts w:ascii="Arial" w:eastAsiaTheme="majorEastAsia" w:hAnsi="Arial"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E1226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E1226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1226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1226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1226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1226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226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B14426"/>
    <w:rPr>
      <w:rFonts w:eastAsiaTheme="minorEastAsia"/>
      <w:bCs/>
      <w:spacing w:val="6"/>
      <w:sz w:val="22"/>
      <w:szCs w:val="18"/>
      <w:lang w:bidi="hi-IN"/>
    </w:rPr>
  </w:style>
  <w:style w:type="paragraph" w:styleId="Subtitle">
    <w:name w:val="Subtitle"/>
    <w:basedOn w:val="Normal"/>
    <w:next w:val="Normal"/>
    <w:link w:val="SubtitleChar"/>
    <w:uiPriority w:val="11"/>
    <w:qFormat/>
    <w:rsid w:val="00E1226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E1226B"/>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E1226B"/>
    <w:rPr>
      <w:b w:val="0"/>
      <w:bCs/>
      <w:i/>
      <w:color w:val="1F497D" w:themeColor="text2"/>
    </w:rPr>
  </w:style>
  <w:style w:type="character" w:styleId="Emphasis">
    <w:name w:val="Emphasis"/>
    <w:basedOn w:val="DefaultParagraphFont"/>
    <w:uiPriority w:val="20"/>
    <w:qFormat/>
    <w:rsid w:val="00E1226B"/>
    <w:rPr>
      <w:b/>
      <w:i/>
      <w:iCs/>
    </w:rPr>
  </w:style>
  <w:style w:type="paragraph" w:styleId="NoSpacing">
    <w:name w:val="No Spacing"/>
    <w:link w:val="NoSpacingChar"/>
    <w:uiPriority w:val="1"/>
    <w:qFormat/>
    <w:rsid w:val="00E1226B"/>
  </w:style>
  <w:style w:type="character" w:customStyle="1" w:styleId="NoSpacingChar">
    <w:name w:val="No Spacing Char"/>
    <w:basedOn w:val="DefaultParagraphFont"/>
    <w:link w:val="NoSpacing"/>
    <w:uiPriority w:val="1"/>
    <w:rsid w:val="00E1226B"/>
  </w:style>
  <w:style w:type="paragraph" w:styleId="Quote">
    <w:name w:val="Quote"/>
    <w:basedOn w:val="Normal"/>
    <w:next w:val="Normal"/>
    <w:link w:val="QuoteChar"/>
    <w:uiPriority w:val="29"/>
    <w:qFormat/>
    <w:rsid w:val="00E1226B"/>
    <w:pPr>
      <w:spacing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E1226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E1226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E1226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E1226B"/>
    <w:rPr>
      <w:i/>
      <w:iCs/>
      <w:color w:val="000000"/>
    </w:rPr>
  </w:style>
  <w:style w:type="character" w:styleId="IntenseEmphasis">
    <w:name w:val="Intense Emphasis"/>
    <w:basedOn w:val="DefaultParagraphFont"/>
    <w:uiPriority w:val="21"/>
    <w:qFormat/>
    <w:rsid w:val="00E1226B"/>
    <w:rPr>
      <w:b/>
      <w:bCs/>
      <w:i/>
      <w:iCs/>
      <w:color w:val="4F81BD" w:themeColor="accent1"/>
    </w:rPr>
  </w:style>
  <w:style w:type="character" w:styleId="SubtleReference">
    <w:name w:val="Subtle Reference"/>
    <w:basedOn w:val="DefaultParagraphFont"/>
    <w:uiPriority w:val="31"/>
    <w:qFormat/>
    <w:rsid w:val="00E1226B"/>
    <w:rPr>
      <w:smallCaps/>
      <w:color w:val="000000"/>
      <w:u w:val="single"/>
    </w:rPr>
  </w:style>
  <w:style w:type="character" w:styleId="IntenseReference">
    <w:name w:val="Intense Reference"/>
    <w:basedOn w:val="DefaultParagraphFont"/>
    <w:uiPriority w:val="32"/>
    <w:qFormat/>
    <w:rsid w:val="00E1226B"/>
    <w:rPr>
      <w:b w:val="0"/>
      <w:bCs/>
      <w:smallCaps/>
      <w:color w:val="4F81BD" w:themeColor="accent1"/>
      <w:spacing w:val="5"/>
      <w:u w:val="single"/>
    </w:rPr>
  </w:style>
  <w:style w:type="character" w:styleId="BookTitle">
    <w:name w:val="Book Title"/>
    <w:basedOn w:val="DefaultParagraphFont"/>
    <w:uiPriority w:val="33"/>
    <w:qFormat/>
    <w:rsid w:val="00E1226B"/>
    <w:rPr>
      <w:b/>
      <w:bCs/>
      <w:caps/>
      <w:smallCaps w:val="0"/>
      <w:color w:val="1F497D" w:themeColor="text2"/>
      <w:spacing w:val="10"/>
    </w:rPr>
  </w:style>
  <w:style w:type="paragraph" w:styleId="TOCHeading">
    <w:name w:val="TOC Heading"/>
    <w:basedOn w:val="Heading1"/>
    <w:next w:val="Normal"/>
    <w:uiPriority w:val="39"/>
    <w:semiHidden/>
    <w:unhideWhenUsed/>
    <w:qFormat/>
    <w:rsid w:val="00E1226B"/>
    <w:pPr>
      <w:spacing w:before="480" w:line="264" w:lineRule="auto"/>
      <w:outlineLvl w:val="9"/>
    </w:pPr>
    <w:rPr>
      <w:b/>
    </w:rPr>
  </w:style>
  <w:style w:type="paragraph" w:styleId="BodyText">
    <w:name w:val="Body Text"/>
    <w:basedOn w:val="Normal"/>
    <w:link w:val="BodyTextChar"/>
    <w:rsid w:val="007A7073"/>
    <w:rPr>
      <w:rFonts w:eastAsia="Times New Roman" w:cs="Times New Roman"/>
      <w:b/>
      <w:sz w:val="32"/>
      <w:szCs w:val="24"/>
    </w:rPr>
  </w:style>
  <w:style w:type="character" w:customStyle="1" w:styleId="BodyTextChar">
    <w:name w:val="Body Text Char"/>
    <w:basedOn w:val="DefaultParagraphFont"/>
    <w:link w:val="BodyText"/>
    <w:rsid w:val="007A7073"/>
    <w:rPr>
      <w:rFonts w:ascii="Arial" w:eastAsia="Times New Roman" w:hAnsi="Arial" w:cs="Times New Roman"/>
      <w:b/>
      <w:sz w:val="32"/>
      <w:szCs w:val="24"/>
    </w:rPr>
  </w:style>
  <w:style w:type="paragraph" w:styleId="NormalWeb">
    <w:name w:val="Normal (Web)"/>
    <w:basedOn w:val="Normal"/>
    <w:uiPriority w:val="99"/>
    <w:semiHidden/>
    <w:unhideWhenUsed/>
    <w:rsid w:val="007A7073"/>
    <w:pPr>
      <w:spacing w:before="100" w:beforeAutospacing="1" w:after="100" w:afterAutospacing="1"/>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3D3F4D"/>
    <w:rPr>
      <w:color w:val="800080" w:themeColor="followedHyperlink"/>
      <w:u w:val="single"/>
    </w:rPr>
  </w:style>
  <w:style w:type="paragraph" w:styleId="FootnoteText">
    <w:name w:val="footnote text"/>
    <w:basedOn w:val="Normal"/>
    <w:link w:val="FootnoteTextChar"/>
    <w:uiPriority w:val="99"/>
    <w:semiHidden/>
    <w:unhideWhenUsed/>
    <w:rsid w:val="00186D14"/>
    <w:rPr>
      <w:sz w:val="20"/>
      <w:szCs w:val="20"/>
    </w:rPr>
  </w:style>
  <w:style w:type="character" w:customStyle="1" w:styleId="FootnoteTextChar">
    <w:name w:val="Footnote Text Char"/>
    <w:basedOn w:val="DefaultParagraphFont"/>
    <w:link w:val="FootnoteText"/>
    <w:uiPriority w:val="99"/>
    <w:semiHidden/>
    <w:rsid w:val="00186D14"/>
    <w:rPr>
      <w:rFonts w:ascii="Arial" w:hAnsi="Arial"/>
      <w:sz w:val="20"/>
      <w:szCs w:val="20"/>
    </w:rPr>
  </w:style>
  <w:style w:type="character" w:styleId="FootnoteReference">
    <w:name w:val="footnote reference"/>
    <w:basedOn w:val="DefaultParagraphFont"/>
    <w:uiPriority w:val="99"/>
    <w:semiHidden/>
    <w:unhideWhenUsed/>
    <w:rsid w:val="00186D14"/>
    <w:rPr>
      <w:vertAlign w:val="superscript"/>
    </w:rPr>
  </w:style>
  <w:style w:type="paragraph" w:styleId="EndnoteText">
    <w:name w:val="endnote text"/>
    <w:basedOn w:val="Normal"/>
    <w:link w:val="EndnoteTextChar"/>
    <w:uiPriority w:val="99"/>
    <w:semiHidden/>
    <w:unhideWhenUsed/>
    <w:rsid w:val="00F35AA5"/>
    <w:rPr>
      <w:sz w:val="20"/>
      <w:szCs w:val="20"/>
    </w:rPr>
  </w:style>
  <w:style w:type="character" w:customStyle="1" w:styleId="EndnoteTextChar">
    <w:name w:val="Endnote Text Char"/>
    <w:basedOn w:val="DefaultParagraphFont"/>
    <w:link w:val="EndnoteText"/>
    <w:uiPriority w:val="99"/>
    <w:semiHidden/>
    <w:rsid w:val="00F35AA5"/>
    <w:rPr>
      <w:rFonts w:ascii="Arial" w:hAnsi="Arial"/>
      <w:sz w:val="20"/>
      <w:szCs w:val="20"/>
    </w:rPr>
  </w:style>
  <w:style w:type="character" w:styleId="EndnoteReference">
    <w:name w:val="endnote reference"/>
    <w:basedOn w:val="DefaultParagraphFont"/>
    <w:uiPriority w:val="99"/>
    <w:semiHidden/>
    <w:unhideWhenUsed/>
    <w:rsid w:val="00F35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radford.gov.uk/children-young-people-and-families/reports-policies-projects-and-strategies/integrated-early-years-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E151-783F-4E9A-ACE6-9B380265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ridleyw</dc:creator>
  <cp:lastModifiedBy>Mark Widdowson</cp:lastModifiedBy>
  <cp:revision>2</cp:revision>
  <cp:lastPrinted>2015-10-09T14:08:00Z</cp:lastPrinted>
  <dcterms:created xsi:type="dcterms:W3CDTF">2017-03-16T10:27:00Z</dcterms:created>
  <dcterms:modified xsi:type="dcterms:W3CDTF">2017-03-16T10:27:00Z</dcterms:modified>
</cp:coreProperties>
</file>